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6"/>
        <w:ind w:left="4160" w:hanging="4160" w:hangingChars="800"/>
        <w:rPr>
          <w:sz w:val="52"/>
          <w:lang w:val="en-US"/>
        </w:rPr>
      </w:pPr>
      <w:r>
        <w:rPr>
          <w:rFonts w:hint="eastAsia"/>
          <w:sz w:val="52"/>
          <w:lang w:val="en-US"/>
        </w:rPr>
        <w:t xml:space="preserve">  </w:t>
      </w:r>
    </w:p>
    <w:p>
      <w:pPr>
        <w:pStyle w:val="2"/>
        <w:ind w:right="234"/>
        <w:rPr>
          <w:rFonts w:asciiTheme="minorEastAsia" w:hAnsiTheme="minorEastAsia" w:eastAsiaTheme="minorEastAsia"/>
        </w:rPr>
      </w:pPr>
      <w:bookmarkStart w:id="0" w:name="招标文件（招租文件）信息"/>
      <w:bookmarkEnd w:id="0"/>
      <w:r>
        <w:rPr>
          <w:rFonts w:hint="eastAsia" w:asciiTheme="minorEastAsia" w:hAnsiTheme="minorEastAsia" w:eastAsiaTheme="minorEastAsia"/>
        </w:rPr>
        <w:t>光明区田寮社区第六工业区第4栋厂房及宿舍物业公开招标项目</w:t>
      </w:r>
    </w:p>
    <w:p>
      <w:pPr>
        <w:pStyle w:val="2"/>
        <w:ind w:right="234"/>
      </w:pPr>
      <w:r>
        <w:t>招标文件</w:t>
      </w:r>
    </w:p>
    <w:p>
      <w:pPr>
        <w:pStyle w:val="9"/>
        <w:spacing w:before="8"/>
        <w:rPr>
          <w:b/>
          <w:sz w:val="65"/>
        </w:rPr>
      </w:pPr>
    </w:p>
    <w:p>
      <w:pPr>
        <w:ind w:firstLine="1800" w:firstLineChars="600"/>
        <w:rPr>
          <w:sz w:val="30"/>
          <w:lang w:val="en-US"/>
        </w:rPr>
      </w:pPr>
      <w:r>
        <w:rPr>
          <w:sz w:val="30"/>
        </w:rPr>
        <w:t>项目编号：</w:t>
      </w:r>
      <w:r>
        <w:rPr>
          <w:rFonts w:cs="Arial" w:asciiTheme="minorEastAsia" w:hAnsiTheme="minorEastAsia" w:eastAsiaTheme="minorEastAsia"/>
          <w:color w:val="444444"/>
          <w:sz w:val="32"/>
          <w:szCs w:val="32"/>
        </w:rPr>
        <w:t>GMSZ2020048517</w:t>
      </w:r>
    </w:p>
    <w:p>
      <w:pPr>
        <w:ind w:left="2040"/>
        <w:rPr>
          <w:sz w:val="30"/>
        </w:rPr>
      </w:pPr>
    </w:p>
    <w:p>
      <w:pPr>
        <w:ind w:left="3260" w:leftChars="800" w:hanging="1500" w:hangingChars="500"/>
        <w:rPr>
          <w:sz w:val="30"/>
          <w:lang w:val="en-US"/>
        </w:rPr>
      </w:pPr>
      <w:r>
        <w:rPr>
          <w:rFonts w:hint="eastAsia"/>
          <w:sz w:val="30"/>
        </w:rPr>
        <w:t>项目名称：</w:t>
      </w:r>
      <w:r>
        <w:rPr>
          <w:rFonts w:hint="eastAsia" w:asciiTheme="minorEastAsia" w:hAnsiTheme="minorEastAsia" w:eastAsiaTheme="minorEastAsia"/>
          <w:sz w:val="32"/>
          <w:szCs w:val="32"/>
        </w:rPr>
        <w:t>光明区田寮社区第六工业区第4栋厂房及宿舍物业公开招标项目</w:t>
      </w:r>
    </w:p>
    <w:p>
      <w:pPr>
        <w:rPr>
          <w:rFonts w:ascii="Times New Roman" w:eastAsia="Times New Roman"/>
          <w:sz w:val="30"/>
        </w:rPr>
      </w:pPr>
      <w:r>
        <w:rPr>
          <w:rFonts w:hint="eastAsia"/>
          <w:spacing w:val="-12"/>
          <w:sz w:val="30"/>
          <w:lang w:val="en-US"/>
        </w:rPr>
        <w:t xml:space="preserve"> </w:t>
      </w:r>
    </w:p>
    <w:p>
      <w:pPr>
        <w:tabs>
          <w:tab w:val="left" w:pos="7371"/>
        </w:tabs>
        <w:spacing w:line="516" w:lineRule="auto"/>
        <w:ind w:right="1972" w:firstLine="1692" w:firstLineChars="600"/>
        <w:rPr>
          <w:spacing w:val="-9"/>
          <w:sz w:val="30"/>
        </w:rPr>
      </w:pPr>
      <w:r>
        <w:rPr>
          <w:spacing w:val="-9"/>
          <w:sz w:val="30"/>
          <w:highlight w:val="yellow"/>
        </w:rPr>
        <w:t>项目类型：</w:t>
      </w:r>
      <w:r>
        <w:rPr>
          <w:rFonts w:hint="eastAsia"/>
          <w:spacing w:val="-9"/>
          <w:sz w:val="30"/>
          <w:highlight w:val="yellow"/>
        </w:rPr>
        <w:t xml:space="preserve"> 社区集体资产类-物业有偿使用</w:t>
      </w:r>
    </w:p>
    <w:p>
      <w:pPr>
        <w:spacing w:line="516" w:lineRule="auto"/>
        <w:ind w:right="4774" w:firstLine="1692" w:firstLineChars="600"/>
        <w:rPr>
          <w:spacing w:val="-9"/>
          <w:sz w:val="30"/>
        </w:rPr>
      </w:pPr>
      <w:r>
        <w:rPr>
          <w:spacing w:val="-9"/>
          <w:sz w:val="30"/>
        </w:rPr>
        <w:t>交易方式： 公开招标</w:t>
      </w:r>
    </w:p>
    <w:p>
      <w:pPr>
        <w:spacing w:before="3"/>
        <w:ind w:firstLine="1704" w:firstLineChars="600"/>
        <w:rPr>
          <w:sz w:val="30"/>
        </w:rPr>
      </w:pPr>
      <w:r>
        <w:rPr>
          <w:spacing w:val="-8"/>
          <w:sz w:val="30"/>
        </w:rPr>
        <w:t>货币类型： 人民币</w:t>
      </w:r>
    </w:p>
    <w:p>
      <w:pPr>
        <w:pStyle w:val="9"/>
        <w:spacing w:before="6"/>
        <w:rPr>
          <w:sz w:val="34"/>
        </w:rPr>
      </w:pPr>
    </w:p>
    <w:p>
      <w:pPr>
        <w:spacing w:line="516" w:lineRule="auto"/>
        <w:ind w:right="4774" w:firstLine="1692" w:firstLineChars="600"/>
        <w:rPr>
          <w:spacing w:val="-9"/>
          <w:sz w:val="30"/>
        </w:rPr>
      </w:pPr>
      <w:r>
        <w:rPr>
          <w:spacing w:val="-9"/>
          <w:sz w:val="30"/>
        </w:rPr>
        <w:t>评标方法： 综合评分法</w:t>
      </w:r>
    </w:p>
    <w:p>
      <w:pPr>
        <w:spacing w:line="516" w:lineRule="auto"/>
        <w:ind w:right="4774" w:firstLine="1704" w:firstLineChars="600"/>
        <w:rPr>
          <w:sz w:val="30"/>
        </w:rPr>
      </w:pPr>
      <w:r>
        <w:rPr>
          <w:spacing w:val="-8"/>
          <w:sz w:val="30"/>
        </w:rPr>
        <w:t>定标方法： 自定法</w:t>
      </w:r>
    </w:p>
    <w:p>
      <w:pPr>
        <w:pStyle w:val="2"/>
        <w:spacing w:before="22"/>
        <w:rPr>
          <w:w w:val="95"/>
        </w:rPr>
      </w:pPr>
      <w:bookmarkStart w:id="1" w:name="资格性审查表"/>
      <w:bookmarkEnd w:id="1"/>
    </w:p>
    <w:p>
      <w:pPr>
        <w:pStyle w:val="2"/>
        <w:spacing w:before="22"/>
        <w:rPr>
          <w:w w:val="95"/>
        </w:rPr>
      </w:pPr>
    </w:p>
    <w:p>
      <w:pPr>
        <w:pStyle w:val="2"/>
        <w:spacing w:before="22"/>
        <w:rPr>
          <w:w w:val="95"/>
        </w:rPr>
      </w:pPr>
    </w:p>
    <w:p>
      <w:pPr>
        <w:pStyle w:val="2"/>
        <w:spacing w:before="22"/>
        <w:rPr>
          <w:w w:val="95"/>
        </w:rPr>
      </w:pPr>
    </w:p>
    <w:p>
      <w:pPr>
        <w:pStyle w:val="2"/>
        <w:spacing w:before="22"/>
        <w:rPr>
          <w:w w:val="95"/>
        </w:rPr>
      </w:pPr>
    </w:p>
    <w:p>
      <w:pPr>
        <w:pStyle w:val="2"/>
        <w:spacing w:before="22"/>
        <w:rPr>
          <w:w w:val="95"/>
        </w:rPr>
      </w:pPr>
    </w:p>
    <w:p>
      <w:pPr>
        <w:pStyle w:val="2"/>
        <w:spacing w:before="22"/>
        <w:rPr>
          <w:w w:val="95"/>
        </w:rPr>
      </w:pPr>
    </w:p>
    <w:p>
      <w:pPr>
        <w:pStyle w:val="2"/>
        <w:spacing w:before="22"/>
        <w:rPr>
          <w:w w:val="95"/>
        </w:rPr>
      </w:pPr>
    </w:p>
    <w:p>
      <w:pPr>
        <w:pStyle w:val="2"/>
        <w:spacing w:before="22"/>
      </w:pPr>
      <w:r>
        <w:rPr>
          <w:w w:val="95"/>
        </w:rPr>
        <w:t>资格性审查表</w:t>
      </w:r>
    </w:p>
    <w:p>
      <w:pPr>
        <w:pStyle w:val="9"/>
        <w:spacing w:before="9"/>
        <w:rPr>
          <w:b/>
          <w:sz w:val="20"/>
        </w:rPr>
      </w:pPr>
    </w:p>
    <w:tbl>
      <w:tblPr>
        <w:tblStyle w:val="13"/>
        <w:tblW w:w="9427" w:type="dxa"/>
        <w:tblInd w:w="13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94"/>
        <w:gridCol w:w="863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03" w:hRule="atLeast"/>
        </w:trPr>
        <w:tc>
          <w:tcPr>
            <w:tcW w:w="794" w:type="dxa"/>
            <w:shd w:val="clear" w:color="auto" w:fill="E6EEF9"/>
          </w:tcPr>
          <w:p>
            <w:pPr>
              <w:pStyle w:val="19"/>
              <w:spacing w:before="22"/>
              <w:ind w:left="95" w:right="77"/>
              <w:jc w:val="center"/>
              <w:rPr>
                <w:sz w:val="28"/>
              </w:rPr>
            </w:pPr>
            <w:r>
              <w:rPr>
                <w:sz w:val="28"/>
              </w:rPr>
              <w:t>序号</w:t>
            </w:r>
          </w:p>
        </w:tc>
        <w:tc>
          <w:tcPr>
            <w:tcW w:w="8633" w:type="dxa"/>
            <w:shd w:val="clear" w:color="auto" w:fill="E6EEF9"/>
          </w:tcPr>
          <w:p>
            <w:pPr>
              <w:pStyle w:val="19"/>
              <w:spacing w:before="22"/>
              <w:ind w:left="4016" w:right="3997"/>
              <w:jc w:val="center"/>
              <w:rPr>
                <w:sz w:val="28"/>
              </w:rPr>
            </w:pPr>
            <w:r>
              <w:rPr>
                <w:sz w:val="28"/>
              </w:rPr>
              <w:t>内容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06" w:hRule="atLeast"/>
        </w:trPr>
        <w:tc>
          <w:tcPr>
            <w:tcW w:w="794" w:type="dxa"/>
          </w:tcPr>
          <w:p>
            <w:pPr>
              <w:pStyle w:val="19"/>
              <w:spacing w:before="180"/>
              <w:ind w:left="17"/>
              <w:jc w:val="center"/>
              <w:rPr>
                <w:rFonts w:ascii="Times New Roman"/>
                <w:sz w:val="21"/>
              </w:rPr>
            </w:pPr>
            <w:r>
              <w:rPr>
                <w:rFonts w:ascii="Times New Roman"/>
                <w:w w:val="99"/>
                <w:sz w:val="21"/>
              </w:rPr>
              <w:t>1</w:t>
            </w:r>
          </w:p>
        </w:tc>
        <w:tc>
          <w:tcPr>
            <w:tcW w:w="8633" w:type="dxa"/>
          </w:tcPr>
          <w:p>
            <w:pPr>
              <w:pStyle w:val="19"/>
              <w:spacing w:before="32" w:line="242" w:lineRule="auto"/>
              <w:ind w:left="106" w:right="90"/>
              <w:jc w:val="center"/>
              <w:rPr>
                <w:sz w:val="21"/>
              </w:rPr>
            </w:pPr>
            <w:r>
              <w:rPr>
                <w:rFonts w:hint="eastAsia"/>
                <w:sz w:val="21"/>
              </w:rPr>
              <w:t>投标人不具备招标资质要求，或未提交相应资格证明材料可直接废标(详见交易公告投标人资质要求，其中未列示的资质要求不得导致废标。)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2" w:hRule="atLeast"/>
        </w:trPr>
        <w:tc>
          <w:tcPr>
            <w:tcW w:w="794" w:type="dxa"/>
          </w:tcPr>
          <w:p>
            <w:pPr>
              <w:pStyle w:val="19"/>
              <w:spacing w:before="180"/>
              <w:ind w:left="17"/>
              <w:jc w:val="center"/>
              <w:rPr>
                <w:rFonts w:ascii="Times New Roman"/>
                <w:sz w:val="21"/>
              </w:rPr>
            </w:pPr>
            <w:r>
              <w:rPr>
                <w:rFonts w:hint="eastAsia" w:ascii="Times New Roman"/>
                <w:w w:val="99"/>
                <w:sz w:val="21"/>
                <w:lang w:val="en-US"/>
              </w:rPr>
              <w:t>2</w:t>
            </w:r>
          </w:p>
        </w:tc>
        <w:tc>
          <w:tcPr>
            <w:tcW w:w="8633" w:type="dxa"/>
          </w:tcPr>
          <w:p>
            <w:pPr>
              <w:pStyle w:val="19"/>
              <w:spacing w:before="32" w:line="242" w:lineRule="auto"/>
              <w:ind w:left="106" w:right="90"/>
              <w:jc w:val="center"/>
              <w:rPr>
                <w:sz w:val="21"/>
                <w:szCs w:val="21"/>
              </w:rPr>
            </w:pPr>
            <w:r>
              <w:rPr>
                <w:rFonts w:hint="eastAsia"/>
                <w:sz w:val="21"/>
                <w:szCs w:val="21"/>
              </w:rPr>
              <w:t>投标</w:t>
            </w:r>
            <w:r>
              <w:rPr>
                <w:sz w:val="21"/>
                <w:szCs w:val="21"/>
              </w:rPr>
              <w:t>保证金应在招标文件规定的时间内到达招标人指定的账户，招标人以银行到帐时间为依据</w:t>
            </w:r>
            <w:r>
              <w:rPr>
                <w:rFonts w:hint="eastAsia"/>
                <w:sz w:val="21"/>
                <w:szCs w:val="21"/>
              </w:rPr>
              <w:t>（</w:t>
            </w:r>
            <w:r>
              <w:rPr>
                <w:sz w:val="21"/>
                <w:szCs w:val="21"/>
              </w:rPr>
              <w:t>投标保证金必须从投标人基本账户转出</w:t>
            </w:r>
            <w:r>
              <w:rPr>
                <w:rFonts w:hint="eastAsia"/>
                <w:sz w:val="21"/>
                <w:szCs w:val="21"/>
              </w:rPr>
              <w:t>，如缴纳现金或个人账户转至招标人指定银行账户的，须提供招标人开具的投标保证金缴纳收据凭证并加盖招标人财务专用章）。</w:t>
            </w:r>
          </w:p>
        </w:tc>
      </w:tr>
    </w:tbl>
    <w:p>
      <w:pPr>
        <w:spacing w:before="262"/>
        <w:ind w:right="238"/>
        <w:jc w:val="center"/>
        <w:rPr>
          <w:b/>
          <w:sz w:val="44"/>
        </w:rPr>
      </w:pPr>
      <w:bookmarkStart w:id="2" w:name="符合性审查表"/>
      <w:bookmarkEnd w:id="2"/>
      <w:r>
        <w:rPr>
          <w:b/>
          <w:w w:val="95"/>
          <w:sz w:val="44"/>
        </w:rPr>
        <w:t>符合性审查表</w:t>
      </w:r>
    </w:p>
    <w:p>
      <w:pPr>
        <w:pStyle w:val="9"/>
        <w:jc w:val="center"/>
        <w:rPr>
          <w:b/>
          <w:sz w:val="20"/>
        </w:rPr>
      </w:pPr>
    </w:p>
    <w:p>
      <w:pPr>
        <w:pStyle w:val="9"/>
        <w:jc w:val="center"/>
        <w:rPr>
          <w:b/>
          <w:sz w:val="20"/>
        </w:rPr>
      </w:pPr>
    </w:p>
    <w:p>
      <w:pPr>
        <w:pStyle w:val="9"/>
        <w:spacing w:before="11"/>
        <w:jc w:val="center"/>
        <w:rPr>
          <w:b/>
        </w:rPr>
      </w:pPr>
    </w:p>
    <w:tbl>
      <w:tblPr>
        <w:tblStyle w:val="13"/>
        <w:tblW w:w="9285" w:type="dxa"/>
        <w:tblInd w:w="26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94"/>
        <w:gridCol w:w="849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03" w:hRule="atLeast"/>
        </w:trPr>
        <w:tc>
          <w:tcPr>
            <w:tcW w:w="794" w:type="dxa"/>
            <w:shd w:val="clear" w:color="auto" w:fill="E6EEF9"/>
          </w:tcPr>
          <w:p>
            <w:pPr>
              <w:pStyle w:val="19"/>
              <w:spacing w:before="24"/>
              <w:ind w:left="96" w:right="76"/>
              <w:jc w:val="center"/>
              <w:rPr>
                <w:sz w:val="28"/>
              </w:rPr>
            </w:pPr>
            <w:r>
              <w:rPr>
                <w:sz w:val="28"/>
              </w:rPr>
              <w:t>序号</w:t>
            </w:r>
          </w:p>
        </w:tc>
        <w:tc>
          <w:tcPr>
            <w:tcW w:w="8491" w:type="dxa"/>
            <w:shd w:val="clear" w:color="auto" w:fill="E6EEF9"/>
          </w:tcPr>
          <w:p>
            <w:pPr>
              <w:pStyle w:val="19"/>
              <w:spacing w:before="24"/>
              <w:ind w:left="3944" w:right="3926"/>
              <w:jc w:val="center"/>
              <w:rPr>
                <w:sz w:val="28"/>
              </w:rPr>
            </w:pPr>
            <w:r>
              <w:rPr>
                <w:sz w:val="28"/>
              </w:rPr>
              <w:t>内容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06" w:hRule="atLeast"/>
        </w:trPr>
        <w:tc>
          <w:tcPr>
            <w:tcW w:w="794" w:type="dxa"/>
          </w:tcPr>
          <w:p>
            <w:pPr>
              <w:pStyle w:val="19"/>
              <w:spacing w:before="182"/>
              <w:ind w:left="19"/>
              <w:jc w:val="center"/>
              <w:rPr>
                <w:rFonts w:ascii="Times New Roman"/>
                <w:sz w:val="21"/>
              </w:rPr>
            </w:pPr>
            <w:r>
              <w:rPr>
                <w:rFonts w:ascii="Times New Roman"/>
                <w:w w:val="99"/>
                <w:sz w:val="21"/>
              </w:rPr>
              <w:t>1</w:t>
            </w:r>
          </w:p>
        </w:tc>
        <w:tc>
          <w:tcPr>
            <w:tcW w:w="8491" w:type="dxa"/>
          </w:tcPr>
          <w:p>
            <w:pPr>
              <w:pStyle w:val="19"/>
              <w:spacing w:before="168"/>
              <w:ind w:left="107"/>
              <w:jc w:val="center"/>
              <w:rPr>
                <w:sz w:val="21"/>
              </w:rPr>
            </w:pPr>
            <w:r>
              <w:rPr>
                <w:sz w:val="21"/>
              </w:rPr>
              <w:t>投标文件载明的每月租金未低于招标文件载明的租金底价；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07" w:hRule="atLeast"/>
        </w:trPr>
        <w:tc>
          <w:tcPr>
            <w:tcW w:w="794" w:type="dxa"/>
          </w:tcPr>
          <w:p>
            <w:pPr>
              <w:pStyle w:val="19"/>
              <w:spacing w:before="181"/>
              <w:ind w:left="19"/>
              <w:jc w:val="center"/>
              <w:rPr>
                <w:rFonts w:ascii="Times New Roman"/>
                <w:sz w:val="21"/>
              </w:rPr>
            </w:pPr>
            <w:r>
              <w:rPr>
                <w:rFonts w:ascii="Times New Roman"/>
                <w:w w:val="99"/>
                <w:sz w:val="21"/>
              </w:rPr>
              <w:t>2</w:t>
            </w:r>
          </w:p>
        </w:tc>
        <w:tc>
          <w:tcPr>
            <w:tcW w:w="8491" w:type="dxa"/>
          </w:tcPr>
          <w:p>
            <w:pPr>
              <w:pStyle w:val="19"/>
              <w:spacing w:before="167"/>
              <w:ind w:left="107"/>
              <w:jc w:val="center"/>
              <w:rPr>
                <w:sz w:val="21"/>
              </w:rPr>
            </w:pPr>
            <w:r>
              <w:rPr>
                <w:sz w:val="21"/>
              </w:rPr>
              <w:t>同一项目未出现两个及以上报价；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07" w:hRule="atLeast"/>
        </w:trPr>
        <w:tc>
          <w:tcPr>
            <w:tcW w:w="794" w:type="dxa"/>
          </w:tcPr>
          <w:p>
            <w:pPr>
              <w:pStyle w:val="19"/>
              <w:spacing w:before="183"/>
              <w:ind w:left="19"/>
              <w:jc w:val="center"/>
              <w:rPr>
                <w:rFonts w:ascii="Times New Roman"/>
                <w:sz w:val="21"/>
              </w:rPr>
            </w:pPr>
            <w:r>
              <w:rPr>
                <w:rFonts w:ascii="Times New Roman"/>
                <w:w w:val="99"/>
                <w:sz w:val="21"/>
              </w:rPr>
              <w:t>3</w:t>
            </w:r>
          </w:p>
        </w:tc>
        <w:tc>
          <w:tcPr>
            <w:tcW w:w="8491" w:type="dxa"/>
          </w:tcPr>
          <w:p>
            <w:pPr>
              <w:pStyle w:val="19"/>
              <w:spacing w:before="169"/>
              <w:ind w:left="107"/>
              <w:jc w:val="center"/>
              <w:rPr>
                <w:sz w:val="21"/>
              </w:rPr>
            </w:pPr>
            <w:r>
              <w:rPr>
                <w:sz w:val="21"/>
              </w:rPr>
              <w:t>投标文件载明的租赁期限满足招标文件的期限；</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06" w:hRule="atLeast"/>
        </w:trPr>
        <w:tc>
          <w:tcPr>
            <w:tcW w:w="794" w:type="dxa"/>
          </w:tcPr>
          <w:p>
            <w:pPr>
              <w:pStyle w:val="19"/>
              <w:spacing w:before="182"/>
              <w:ind w:left="19"/>
              <w:jc w:val="center"/>
              <w:rPr>
                <w:rFonts w:ascii="Times New Roman"/>
                <w:sz w:val="21"/>
              </w:rPr>
            </w:pPr>
            <w:r>
              <w:rPr>
                <w:rFonts w:ascii="Times New Roman"/>
                <w:w w:val="99"/>
                <w:sz w:val="21"/>
              </w:rPr>
              <w:t>4</w:t>
            </w:r>
          </w:p>
        </w:tc>
        <w:tc>
          <w:tcPr>
            <w:tcW w:w="8491" w:type="dxa"/>
          </w:tcPr>
          <w:p>
            <w:pPr>
              <w:pStyle w:val="19"/>
              <w:spacing w:before="31" w:line="244" w:lineRule="auto"/>
              <w:ind w:left="107" w:right="86"/>
              <w:jc w:val="center"/>
              <w:rPr>
                <w:sz w:val="21"/>
              </w:rPr>
            </w:pPr>
            <w:r>
              <w:rPr>
                <w:sz w:val="21"/>
              </w:rPr>
              <w:t>按招标文件所提供的样式填写投标函；按招标文件对投标文件组成的要求提供投标文件；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07" w:hRule="atLeast"/>
        </w:trPr>
        <w:tc>
          <w:tcPr>
            <w:tcW w:w="794" w:type="dxa"/>
          </w:tcPr>
          <w:p>
            <w:pPr>
              <w:pStyle w:val="19"/>
              <w:spacing w:before="182"/>
              <w:ind w:left="19"/>
              <w:jc w:val="center"/>
              <w:rPr>
                <w:rFonts w:ascii="Times New Roman"/>
                <w:sz w:val="21"/>
              </w:rPr>
            </w:pPr>
            <w:r>
              <w:rPr>
                <w:rFonts w:ascii="Times New Roman"/>
                <w:w w:val="99"/>
                <w:sz w:val="21"/>
              </w:rPr>
              <w:t>5</w:t>
            </w:r>
          </w:p>
        </w:tc>
        <w:tc>
          <w:tcPr>
            <w:tcW w:w="8491" w:type="dxa"/>
          </w:tcPr>
          <w:p>
            <w:pPr>
              <w:pStyle w:val="19"/>
              <w:spacing w:before="168"/>
              <w:ind w:left="107"/>
              <w:jc w:val="center"/>
              <w:rPr>
                <w:sz w:val="21"/>
              </w:rPr>
            </w:pPr>
            <w:r>
              <w:rPr>
                <w:sz w:val="21"/>
              </w:rPr>
              <w:t>不同投标人的投标文件未出现非正常一致的情形；</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87" w:hRule="atLeast"/>
        </w:trPr>
        <w:tc>
          <w:tcPr>
            <w:tcW w:w="794" w:type="dxa"/>
          </w:tcPr>
          <w:p>
            <w:pPr>
              <w:pStyle w:val="19"/>
              <w:spacing w:before="181"/>
              <w:ind w:left="19"/>
              <w:jc w:val="center"/>
              <w:rPr>
                <w:rFonts w:ascii="Times New Roman"/>
                <w:w w:val="99"/>
                <w:sz w:val="21"/>
                <w:lang w:val="en-US"/>
              </w:rPr>
            </w:pPr>
            <w:r>
              <w:rPr>
                <w:rFonts w:hint="eastAsia" w:ascii="Times New Roman"/>
                <w:w w:val="99"/>
                <w:sz w:val="21"/>
                <w:lang w:val="en-US"/>
              </w:rPr>
              <w:t>6</w:t>
            </w:r>
          </w:p>
        </w:tc>
        <w:tc>
          <w:tcPr>
            <w:tcW w:w="8491" w:type="dxa"/>
          </w:tcPr>
          <w:p>
            <w:pPr>
              <w:pStyle w:val="19"/>
              <w:spacing w:before="167"/>
              <w:ind w:left="107"/>
              <w:jc w:val="center"/>
              <w:rPr>
                <w:sz w:val="21"/>
              </w:rPr>
            </w:pPr>
            <w:r>
              <w:rPr>
                <w:rFonts w:hint="eastAsia"/>
                <w:sz w:val="21"/>
                <w:szCs w:val="21"/>
              </w:rPr>
              <w:t>不得将一个包中的内容拆开投标，投标时必须密封；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66" w:hRule="atLeast"/>
        </w:trPr>
        <w:tc>
          <w:tcPr>
            <w:tcW w:w="794" w:type="dxa"/>
          </w:tcPr>
          <w:p>
            <w:pPr>
              <w:pStyle w:val="19"/>
              <w:spacing w:before="181"/>
              <w:ind w:left="19"/>
              <w:jc w:val="center"/>
              <w:rPr>
                <w:rFonts w:ascii="Times New Roman"/>
                <w:w w:val="99"/>
                <w:sz w:val="21"/>
                <w:lang w:val="en-US"/>
              </w:rPr>
            </w:pPr>
            <w:r>
              <w:rPr>
                <w:rFonts w:hint="eastAsia" w:ascii="Times New Roman"/>
                <w:w w:val="99"/>
                <w:sz w:val="21"/>
                <w:lang w:val="en-US"/>
              </w:rPr>
              <w:t>7</w:t>
            </w:r>
          </w:p>
        </w:tc>
        <w:tc>
          <w:tcPr>
            <w:tcW w:w="8491" w:type="dxa"/>
          </w:tcPr>
          <w:p>
            <w:pPr>
              <w:pStyle w:val="19"/>
              <w:spacing w:before="167"/>
              <w:ind w:left="107"/>
              <w:jc w:val="center"/>
              <w:rPr>
                <w:sz w:val="20"/>
                <w:szCs w:val="21"/>
              </w:rPr>
            </w:pPr>
            <w:r>
              <w:rPr>
                <w:rFonts w:hint="eastAsia"/>
                <w:sz w:val="21"/>
                <w:szCs w:val="21"/>
              </w:rPr>
              <w:t>投标文件必须按招标文件要求递交装订本，并且按招标文件要求标注投标文件页码；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66" w:hRule="atLeast"/>
        </w:trPr>
        <w:tc>
          <w:tcPr>
            <w:tcW w:w="794" w:type="dxa"/>
          </w:tcPr>
          <w:p>
            <w:pPr>
              <w:pStyle w:val="19"/>
              <w:spacing w:before="181"/>
              <w:ind w:left="19"/>
              <w:jc w:val="center"/>
              <w:rPr>
                <w:rFonts w:ascii="Times New Roman"/>
                <w:w w:val="99"/>
                <w:sz w:val="21"/>
                <w:lang w:val="en-US"/>
              </w:rPr>
            </w:pPr>
            <w:r>
              <w:rPr>
                <w:rFonts w:hint="eastAsia" w:ascii="Times New Roman"/>
                <w:w w:val="99"/>
                <w:sz w:val="21"/>
                <w:lang w:val="en-US"/>
              </w:rPr>
              <w:t>8</w:t>
            </w:r>
          </w:p>
        </w:tc>
        <w:tc>
          <w:tcPr>
            <w:tcW w:w="8491" w:type="dxa"/>
          </w:tcPr>
          <w:p>
            <w:pPr>
              <w:pStyle w:val="19"/>
              <w:spacing w:before="167"/>
              <w:ind w:left="107"/>
              <w:jc w:val="center"/>
              <w:rPr>
                <w:sz w:val="20"/>
                <w:szCs w:val="21"/>
              </w:rPr>
            </w:pPr>
            <w:r>
              <w:rPr>
                <w:rFonts w:hint="eastAsia"/>
                <w:sz w:val="21"/>
                <w:szCs w:val="21"/>
              </w:rPr>
              <w:t>投标报价未有严重缺漏项目；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51" w:hRule="atLeast"/>
        </w:trPr>
        <w:tc>
          <w:tcPr>
            <w:tcW w:w="794" w:type="dxa"/>
          </w:tcPr>
          <w:p>
            <w:pPr>
              <w:pStyle w:val="19"/>
              <w:spacing w:before="181"/>
              <w:ind w:left="19"/>
              <w:jc w:val="center"/>
              <w:rPr>
                <w:rFonts w:ascii="Times New Roman"/>
                <w:w w:val="99"/>
                <w:sz w:val="21"/>
                <w:lang w:val="en-US"/>
              </w:rPr>
            </w:pPr>
            <w:r>
              <w:rPr>
                <w:rFonts w:hint="eastAsia" w:ascii="Times New Roman"/>
                <w:w w:val="99"/>
                <w:sz w:val="21"/>
                <w:lang w:val="en-US"/>
              </w:rPr>
              <w:t>9</w:t>
            </w:r>
          </w:p>
        </w:tc>
        <w:tc>
          <w:tcPr>
            <w:tcW w:w="8491" w:type="dxa"/>
          </w:tcPr>
          <w:p>
            <w:pPr>
              <w:pStyle w:val="19"/>
              <w:spacing w:before="167"/>
              <w:ind w:left="107"/>
              <w:jc w:val="center"/>
              <w:rPr>
                <w:sz w:val="20"/>
                <w:szCs w:val="21"/>
              </w:rPr>
            </w:pPr>
            <w:r>
              <w:rPr>
                <w:rFonts w:hint="eastAsia"/>
                <w:sz w:val="21"/>
              </w:rPr>
              <w:t>未违反</w:t>
            </w:r>
            <w:r>
              <w:rPr>
                <w:sz w:val="21"/>
              </w:rPr>
              <w:t>法律、法规规定的其他情形</w:t>
            </w:r>
          </w:p>
        </w:tc>
      </w:tr>
    </w:tbl>
    <w:p>
      <w:pPr>
        <w:spacing w:before="20"/>
        <w:ind w:right="378"/>
        <w:jc w:val="center"/>
        <w:rPr>
          <w:rFonts w:ascii="方正小标宋简体" w:eastAsia="方正小标宋简体"/>
          <w:b/>
          <w:sz w:val="44"/>
        </w:rPr>
      </w:pPr>
      <w:bookmarkStart w:id="3" w:name="评标信息"/>
      <w:bookmarkEnd w:id="3"/>
    </w:p>
    <w:p>
      <w:pPr>
        <w:spacing w:before="20"/>
        <w:ind w:right="378"/>
        <w:jc w:val="center"/>
        <w:rPr>
          <w:rFonts w:ascii="方正小标宋简体" w:eastAsia="方正小标宋简体"/>
          <w:b/>
          <w:sz w:val="44"/>
        </w:rPr>
      </w:pPr>
    </w:p>
    <w:p>
      <w:pPr>
        <w:spacing w:before="20"/>
        <w:ind w:right="378"/>
        <w:jc w:val="center"/>
        <w:rPr>
          <w:rFonts w:ascii="方正小标宋简体" w:eastAsia="方正小标宋简体"/>
          <w:b/>
          <w:sz w:val="44"/>
        </w:rPr>
      </w:pPr>
    </w:p>
    <w:p>
      <w:pPr>
        <w:spacing w:before="20"/>
        <w:ind w:right="378"/>
        <w:jc w:val="center"/>
        <w:rPr>
          <w:rFonts w:ascii="方正小标宋简体" w:eastAsia="方正小标宋简体"/>
          <w:b/>
          <w:sz w:val="44"/>
        </w:rPr>
      </w:pPr>
    </w:p>
    <w:p>
      <w:pPr>
        <w:spacing w:before="20"/>
        <w:ind w:right="378"/>
        <w:jc w:val="center"/>
        <w:rPr>
          <w:rFonts w:ascii="方正小标宋简体" w:eastAsia="方正小标宋简体"/>
          <w:b/>
          <w:sz w:val="44"/>
        </w:rPr>
      </w:pPr>
    </w:p>
    <w:p>
      <w:pPr>
        <w:spacing w:before="20"/>
        <w:ind w:right="378"/>
        <w:jc w:val="center"/>
        <w:rPr>
          <w:rFonts w:ascii="方正小标宋简体" w:eastAsia="方正小标宋简体"/>
          <w:b/>
          <w:sz w:val="44"/>
        </w:rPr>
      </w:pPr>
      <w:r>
        <w:rPr>
          <w:rFonts w:hint="eastAsia" w:ascii="方正小标宋简体" w:eastAsia="方正小标宋简体"/>
          <w:b/>
          <w:sz w:val="44"/>
        </w:rPr>
        <w:t>评标信息</w:t>
      </w:r>
    </w:p>
    <w:p>
      <w:pPr>
        <w:pStyle w:val="9"/>
        <w:rPr>
          <w:b/>
          <w:sz w:val="20"/>
        </w:rPr>
      </w:pPr>
    </w:p>
    <w:p>
      <w:pPr>
        <w:pStyle w:val="3"/>
        <w:spacing w:line="485" w:lineRule="exact"/>
        <w:ind w:left="999" w:right="0"/>
        <w:jc w:val="left"/>
        <w:rPr>
          <w:rFonts w:ascii="黑体" w:hAnsi="黑体" w:eastAsia="黑体"/>
          <w:sz w:val="32"/>
          <w:szCs w:val="32"/>
        </w:rPr>
      </w:pPr>
      <w:r>
        <w:rPr>
          <w:rFonts w:hint="eastAsia" w:ascii="黑体" w:hAnsi="黑体" w:eastAsia="黑体"/>
          <w:sz w:val="32"/>
          <w:szCs w:val="32"/>
        </w:rPr>
        <w:t>一、评分权重设置</w:t>
      </w:r>
    </w:p>
    <w:tbl>
      <w:tblPr>
        <w:tblStyle w:val="13"/>
        <w:tblW w:w="949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20"/>
        <w:gridCol w:w="46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0" w:hRule="atLeast"/>
        </w:trPr>
        <w:tc>
          <w:tcPr>
            <w:tcW w:w="4820" w:type="dxa"/>
            <w:vAlign w:val="center"/>
          </w:tcPr>
          <w:p>
            <w:pPr>
              <w:pStyle w:val="19"/>
              <w:ind w:left="663" w:right="655"/>
              <w:jc w:val="center"/>
              <w:rPr>
                <w:b/>
                <w:sz w:val="21"/>
                <w:szCs w:val="21"/>
              </w:rPr>
            </w:pPr>
            <w:r>
              <w:rPr>
                <w:b/>
                <w:sz w:val="21"/>
                <w:szCs w:val="21"/>
              </w:rPr>
              <w:t>价格</w:t>
            </w:r>
            <w:r>
              <w:rPr>
                <w:rFonts w:hint="eastAsia"/>
                <w:b/>
                <w:sz w:val="21"/>
                <w:szCs w:val="21"/>
              </w:rPr>
              <w:t>因素</w:t>
            </w:r>
          </w:p>
        </w:tc>
        <w:tc>
          <w:tcPr>
            <w:tcW w:w="4678" w:type="dxa"/>
            <w:vAlign w:val="center"/>
          </w:tcPr>
          <w:p>
            <w:pPr>
              <w:pStyle w:val="19"/>
              <w:ind w:left="662" w:right="656"/>
              <w:jc w:val="center"/>
              <w:rPr>
                <w:b/>
                <w:sz w:val="21"/>
                <w:szCs w:val="21"/>
              </w:rPr>
            </w:pPr>
            <w:r>
              <w:rPr>
                <w:b/>
                <w:sz w:val="21"/>
                <w:szCs w:val="21"/>
              </w:rPr>
              <w:t>产业</w:t>
            </w:r>
            <w:r>
              <w:rPr>
                <w:rFonts w:hint="eastAsia"/>
                <w:b/>
                <w:sz w:val="21"/>
                <w:szCs w:val="21"/>
              </w:rPr>
              <w:t>因素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0" w:hRule="atLeast"/>
        </w:trPr>
        <w:tc>
          <w:tcPr>
            <w:tcW w:w="4820" w:type="dxa"/>
          </w:tcPr>
          <w:p>
            <w:pPr>
              <w:pStyle w:val="19"/>
              <w:spacing w:before="5"/>
              <w:rPr>
                <w:rFonts w:ascii="Microsoft JhengHei"/>
                <w:b/>
                <w:sz w:val="11"/>
              </w:rPr>
            </w:pPr>
          </w:p>
          <w:p>
            <w:pPr>
              <w:pStyle w:val="19"/>
              <w:ind w:left="661" w:right="655"/>
              <w:jc w:val="center"/>
              <w:rPr>
                <w:sz w:val="21"/>
              </w:rPr>
            </w:pPr>
            <w:r>
              <w:rPr>
                <w:rFonts w:hint="eastAsia"/>
                <w:sz w:val="21"/>
                <w:lang w:val="en-US"/>
              </w:rPr>
              <w:t>30</w:t>
            </w:r>
            <w:r>
              <w:rPr>
                <w:sz w:val="21"/>
              </w:rPr>
              <w:t>分</w:t>
            </w:r>
          </w:p>
        </w:tc>
        <w:tc>
          <w:tcPr>
            <w:tcW w:w="4678" w:type="dxa"/>
          </w:tcPr>
          <w:p>
            <w:pPr>
              <w:pStyle w:val="19"/>
              <w:spacing w:before="5"/>
              <w:rPr>
                <w:rFonts w:ascii="Microsoft JhengHei"/>
                <w:b/>
                <w:sz w:val="11"/>
              </w:rPr>
            </w:pPr>
          </w:p>
          <w:p>
            <w:pPr>
              <w:pStyle w:val="19"/>
              <w:ind w:left="663" w:right="654"/>
              <w:jc w:val="center"/>
              <w:rPr>
                <w:sz w:val="21"/>
              </w:rPr>
            </w:pPr>
            <w:r>
              <w:rPr>
                <w:rFonts w:hint="eastAsia"/>
                <w:sz w:val="21"/>
              </w:rPr>
              <w:t>70</w:t>
            </w:r>
            <w:r>
              <w:rPr>
                <w:sz w:val="21"/>
              </w:rPr>
              <w:t>分</w:t>
            </w:r>
          </w:p>
        </w:tc>
      </w:tr>
    </w:tbl>
    <w:p>
      <w:pPr>
        <w:pStyle w:val="3"/>
        <w:spacing w:line="485" w:lineRule="exact"/>
        <w:ind w:left="999" w:right="0"/>
        <w:jc w:val="left"/>
        <w:rPr>
          <w:rFonts w:ascii="黑体" w:hAnsi="黑体" w:eastAsia="黑体"/>
          <w:sz w:val="32"/>
          <w:szCs w:val="32"/>
        </w:rPr>
      </w:pPr>
      <w:r>
        <w:rPr>
          <w:rFonts w:hint="eastAsia" w:ascii="黑体" w:hAnsi="黑体" w:eastAsia="黑体"/>
          <w:sz w:val="32"/>
          <w:szCs w:val="32"/>
        </w:rPr>
        <w:t>二、评标细则</w:t>
      </w:r>
    </w:p>
    <w:tbl>
      <w:tblPr>
        <w:tblStyle w:val="13"/>
        <w:tblW w:w="9508"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679"/>
        <w:gridCol w:w="1369"/>
        <w:gridCol w:w="1369"/>
        <w:gridCol w:w="1369"/>
        <w:gridCol w:w="472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00" w:hRule="atLeast"/>
        </w:trPr>
        <w:tc>
          <w:tcPr>
            <w:tcW w:w="679" w:type="dxa"/>
            <w:shd w:val="clear" w:color="auto" w:fill="E6EEF9"/>
            <w:vAlign w:val="center"/>
          </w:tcPr>
          <w:p>
            <w:pPr>
              <w:pStyle w:val="19"/>
              <w:ind w:left="129"/>
              <w:rPr>
                <w:b/>
                <w:sz w:val="21"/>
              </w:rPr>
            </w:pPr>
            <w:r>
              <w:rPr>
                <w:b/>
                <w:sz w:val="21"/>
              </w:rPr>
              <w:t>序号</w:t>
            </w:r>
          </w:p>
        </w:tc>
        <w:tc>
          <w:tcPr>
            <w:tcW w:w="4107" w:type="dxa"/>
            <w:gridSpan w:val="3"/>
            <w:shd w:val="clear" w:color="auto" w:fill="E6EEF9"/>
            <w:vAlign w:val="center"/>
          </w:tcPr>
          <w:p>
            <w:pPr>
              <w:pStyle w:val="19"/>
              <w:ind w:left="1716" w:right="1697"/>
              <w:jc w:val="both"/>
              <w:rPr>
                <w:b/>
                <w:sz w:val="21"/>
              </w:rPr>
            </w:pPr>
            <w:r>
              <w:rPr>
                <w:b/>
                <w:sz w:val="21"/>
              </w:rPr>
              <w:t>评分项</w:t>
            </w:r>
          </w:p>
        </w:tc>
        <w:tc>
          <w:tcPr>
            <w:tcW w:w="4722" w:type="dxa"/>
            <w:shd w:val="clear" w:color="auto" w:fill="E6EEF9"/>
            <w:vAlign w:val="center"/>
          </w:tcPr>
          <w:p>
            <w:pPr>
              <w:pStyle w:val="19"/>
              <w:ind w:right="-81"/>
              <w:jc w:val="center"/>
              <w:rPr>
                <w:b/>
                <w:sz w:val="21"/>
              </w:rPr>
            </w:pPr>
            <w:r>
              <w:rPr>
                <w:b/>
                <w:sz w:val="21"/>
              </w:rPr>
              <w:t>权重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99" w:hRule="atLeast"/>
        </w:trPr>
        <w:tc>
          <w:tcPr>
            <w:tcW w:w="679" w:type="dxa"/>
            <w:vMerge w:val="restart"/>
            <w:vAlign w:val="center"/>
          </w:tcPr>
          <w:p>
            <w:pPr>
              <w:pStyle w:val="19"/>
              <w:spacing w:before="1"/>
              <w:jc w:val="both"/>
              <w:rPr>
                <w:sz w:val="21"/>
              </w:rPr>
            </w:pPr>
            <w:r>
              <w:rPr>
                <w:w w:val="99"/>
                <w:sz w:val="21"/>
              </w:rPr>
              <w:t>1</w:t>
            </w:r>
          </w:p>
        </w:tc>
        <w:tc>
          <w:tcPr>
            <w:tcW w:w="4107" w:type="dxa"/>
            <w:gridSpan w:val="3"/>
            <w:vAlign w:val="center"/>
          </w:tcPr>
          <w:p>
            <w:pPr>
              <w:pStyle w:val="19"/>
              <w:ind w:left="107"/>
              <w:jc w:val="center"/>
              <w:rPr>
                <w:b/>
                <w:sz w:val="21"/>
              </w:rPr>
            </w:pPr>
            <w:r>
              <w:rPr>
                <w:b/>
                <w:sz w:val="21"/>
              </w:rPr>
              <w:t>价格</w:t>
            </w:r>
            <w:r>
              <w:rPr>
                <w:rFonts w:hint="eastAsia"/>
                <w:b/>
                <w:sz w:val="21"/>
              </w:rPr>
              <w:t>因素</w:t>
            </w:r>
          </w:p>
        </w:tc>
        <w:tc>
          <w:tcPr>
            <w:tcW w:w="4722" w:type="dxa"/>
            <w:vAlign w:val="center"/>
          </w:tcPr>
          <w:p>
            <w:pPr>
              <w:pStyle w:val="19"/>
              <w:jc w:val="center"/>
              <w:rPr>
                <w:b/>
                <w:sz w:val="21"/>
              </w:rPr>
            </w:pPr>
            <w:r>
              <w:rPr>
                <w:rFonts w:hint="eastAsia"/>
                <w:b/>
                <w:sz w:val="21"/>
                <w:lang w:val="en-US"/>
              </w:rPr>
              <w:t>30</w:t>
            </w:r>
            <w:r>
              <w:rPr>
                <w:b/>
                <w:sz w:val="21"/>
              </w:rPr>
              <w:t xml:space="preserve"> 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79" w:hRule="atLeast"/>
        </w:trPr>
        <w:tc>
          <w:tcPr>
            <w:tcW w:w="679" w:type="dxa"/>
            <w:vMerge w:val="continue"/>
            <w:tcBorders>
              <w:top w:val="nil"/>
            </w:tcBorders>
            <w:vAlign w:val="center"/>
          </w:tcPr>
          <w:p>
            <w:pPr>
              <w:jc w:val="both"/>
              <w:rPr>
                <w:sz w:val="2"/>
                <w:szCs w:val="2"/>
              </w:rPr>
            </w:pPr>
          </w:p>
        </w:tc>
        <w:tc>
          <w:tcPr>
            <w:tcW w:w="8829" w:type="dxa"/>
            <w:gridSpan w:val="4"/>
            <w:vAlign w:val="center"/>
          </w:tcPr>
          <w:p>
            <w:pPr>
              <w:pStyle w:val="19"/>
              <w:jc w:val="both"/>
              <w:rPr>
                <w:rFonts w:ascii="Microsoft JhengHei"/>
                <w:b/>
                <w:sz w:val="14"/>
              </w:rPr>
            </w:pPr>
          </w:p>
          <w:p>
            <w:pPr>
              <w:pStyle w:val="19"/>
              <w:ind w:left="107"/>
              <w:jc w:val="both"/>
              <w:rPr>
                <w:sz w:val="21"/>
              </w:rPr>
            </w:pPr>
            <w:r>
              <w:rPr>
                <w:sz w:val="21"/>
              </w:rPr>
              <w:t>价格得分=（投标报价/最高报价）*权重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745" w:hRule="atLeast"/>
        </w:trPr>
        <w:tc>
          <w:tcPr>
            <w:tcW w:w="679" w:type="dxa"/>
            <w:vMerge w:val="restart"/>
            <w:vAlign w:val="center"/>
          </w:tcPr>
          <w:p>
            <w:pPr>
              <w:pStyle w:val="19"/>
              <w:jc w:val="both"/>
              <w:rPr>
                <w:sz w:val="21"/>
              </w:rPr>
            </w:pPr>
            <w:r>
              <w:rPr>
                <w:w w:val="99"/>
                <w:sz w:val="21"/>
              </w:rPr>
              <w:t>2</w:t>
            </w:r>
          </w:p>
        </w:tc>
        <w:tc>
          <w:tcPr>
            <w:tcW w:w="4107" w:type="dxa"/>
            <w:gridSpan w:val="3"/>
            <w:vAlign w:val="center"/>
          </w:tcPr>
          <w:p>
            <w:pPr>
              <w:pStyle w:val="19"/>
              <w:ind w:left="107"/>
              <w:jc w:val="center"/>
              <w:rPr>
                <w:b/>
                <w:sz w:val="21"/>
              </w:rPr>
            </w:pPr>
            <w:r>
              <w:rPr>
                <w:b/>
                <w:sz w:val="21"/>
              </w:rPr>
              <w:t>产业</w:t>
            </w:r>
            <w:r>
              <w:rPr>
                <w:rFonts w:hint="eastAsia"/>
                <w:b/>
                <w:sz w:val="21"/>
              </w:rPr>
              <w:t>因素</w:t>
            </w:r>
          </w:p>
        </w:tc>
        <w:tc>
          <w:tcPr>
            <w:tcW w:w="4722" w:type="dxa"/>
            <w:vAlign w:val="center"/>
          </w:tcPr>
          <w:p>
            <w:pPr>
              <w:pStyle w:val="19"/>
              <w:jc w:val="center"/>
              <w:rPr>
                <w:b/>
                <w:sz w:val="21"/>
              </w:rPr>
            </w:pPr>
            <w:r>
              <w:rPr>
                <w:rFonts w:hint="eastAsia"/>
                <w:b/>
                <w:sz w:val="21"/>
              </w:rPr>
              <w:t>70</w:t>
            </w:r>
            <w:r>
              <w:rPr>
                <w:b/>
                <w:sz w:val="21"/>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79" w:hRule="atLeast"/>
        </w:trPr>
        <w:tc>
          <w:tcPr>
            <w:tcW w:w="679" w:type="dxa"/>
            <w:vMerge w:val="continue"/>
            <w:vAlign w:val="center"/>
          </w:tcPr>
          <w:p>
            <w:pPr>
              <w:pStyle w:val="19"/>
              <w:ind w:left="107"/>
              <w:jc w:val="both"/>
              <w:rPr>
                <w:w w:val="99"/>
                <w:sz w:val="21"/>
              </w:rPr>
            </w:pPr>
          </w:p>
        </w:tc>
        <w:tc>
          <w:tcPr>
            <w:tcW w:w="1369" w:type="dxa"/>
            <w:shd w:val="clear" w:color="auto" w:fill="E6EEF9"/>
            <w:vAlign w:val="center"/>
          </w:tcPr>
          <w:p>
            <w:pPr>
              <w:pStyle w:val="19"/>
              <w:ind w:left="108" w:right="92"/>
              <w:jc w:val="center"/>
              <w:rPr>
                <w:b/>
                <w:sz w:val="21"/>
              </w:rPr>
            </w:pPr>
            <w:r>
              <w:rPr>
                <w:b/>
                <w:sz w:val="21"/>
              </w:rPr>
              <w:t>序号</w:t>
            </w:r>
          </w:p>
        </w:tc>
        <w:tc>
          <w:tcPr>
            <w:tcW w:w="1369" w:type="dxa"/>
            <w:shd w:val="clear" w:color="auto" w:fill="E6EEF9"/>
            <w:vAlign w:val="center"/>
          </w:tcPr>
          <w:p>
            <w:pPr>
              <w:pStyle w:val="19"/>
              <w:jc w:val="center"/>
              <w:rPr>
                <w:b/>
                <w:sz w:val="21"/>
              </w:rPr>
            </w:pPr>
            <w:r>
              <w:rPr>
                <w:b/>
                <w:sz w:val="21"/>
              </w:rPr>
              <w:t>评分因素</w:t>
            </w:r>
          </w:p>
        </w:tc>
        <w:tc>
          <w:tcPr>
            <w:tcW w:w="1369" w:type="dxa"/>
            <w:shd w:val="clear" w:color="auto" w:fill="E6EEF9"/>
            <w:vAlign w:val="center"/>
          </w:tcPr>
          <w:p>
            <w:pPr>
              <w:pStyle w:val="19"/>
              <w:ind w:left="198" w:right="178"/>
              <w:jc w:val="center"/>
              <w:rPr>
                <w:b/>
                <w:sz w:val="21"/>
              </w:rPr>
            </w:pPr>
            <w:r>
              <w:rPr>
                <w:b/>
                <w:sz w:val="21"/>
              </w:rPr>
              <w:t>分值范围</w:t>
            </w:r>
          </w:p>
        </w:tc>
        <w:tc>
          <w:tcPr>
            <w:tcW w:w="4722" w:type="dxa"/>
            <w:shd w:val="clear" w:color="auto" w:fill="E6EEF9"/>
            <w:vAlign w:val="center"/>
          </w:tcPr>
          <w:p>
            <w:pPr>
              <w:pStyle w:val="19"/>
              <w:ind w:right="-81"/>
              <w:jc w:val="center"/>
              <w:rPr>
                <w:b/>
                <w:sz w:val="21"/>
              </w:rPr>
            </w:pPr>
            <w:r>
              <w:rPr>
                <w:b/>
                <w:sz w:val="21"/>
              </w:rPr>
              <w:t>评分准则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314" w:hRule="atLeast"/>
        </w:trPr>
        <w:tc>
          <w:tcPr>
            <w:tcW w:w="679" w:type="dxa"/>
            <w:vMerge w:val="continue"/>
            <w:vAlign w:val="center"/>
          </w:tcPr>
          <w:p>
            <w:pPr>
              <w:jc w:val="both"/>
              <w:rPr>
                <w:sz w:val="2"/>
                <w:szCs w:val="2"/>
              </w:rPr>
            </w:pPr>
          </w:p>
        </w:tc>
        <w:tc>
          <w:tcPr>
            <w:tcW w:w="1369" w:type="dxa"/>
            <w:vAlign w:val="center"/>
          </w:tcPr>
          <w:p>
            <w:pPr>
              <w:spacing w:line="380" w:lineRule="exact"/>
              <w:jc w:val="center"/>
              <w:rPr>
                <w:rFonts w:ascii="仿宋_GB2312" w:eastAsia="仿宋_GB2312"/>
                <w:b/>
                <w:sz w:val="28"/>
                <w:szCs w:val="28"/>
              </w:rPr>
            </w:pPr>
            <w:r>
              <w:rPr>
                <w:rFonts w:hint="eastAsia" w:ascii="仿宋_GB2312" w:eastAsia="仿宋_GB2312"/>
                <w:b/>
                <w:sz w:val="28"/>
                <w:szCs w:val="28"/>
              </w:rPr>
              <w:t>1</w:t>
            </w:r>
          </w:p>
        </w:tc>
        <w:tc>
          <w:tcPr>
            <w:tcW w:w="1369" w:type="dxa"/>
            <w:vAlign w:val="center"/>
          </w:tcPr>
          <w:p>
            <w:pPr>
              <w:spacing w:line="380" w:lineRule="exact"/>
              <w:jc w:val="center"/>
              <w:rPr>
                <w:rFonts w:ascii="仿宋_GB2312" w:eastAsia="仿宋_GB2312"/>
                <w:b/>
                <w:sz w:val="28"/>
                <w:szCs w:val="28"/>
              </w:rPr>
            </w:pPr>
            <w:r>
              <w:rPr>
                <w:rFonts w:hint="eastAsia" w:ascii="仿宋_GB2312" w:eastAsia="仿宋_GB2312"/>
                <w:b/>
                <w:sz w:val="28"/>
                <w:szCs w:val="28"/>
              </w:rPr>
              <w:t>产业类别</w:t>
            </w:r>
          </w:p>
        </w:tc>
        <w:tc>
          <w:tcPr>
            <w:tcW w:w="1369" w:type="dxa"/>
            <w:vAlign w:val="center"/>
          </w:tcPr>
          <w:p>
            <w:pPr>
              <w:spacing w:line="380" w:lineRule="exact"/>
              <w:jc w:val="center"/>
              <w:rPr>
                <w:rFonts w:ascii="仿宋_GB2312" w:eastAsia="仿宋_GB2312"/>
                <w:sz w:val="28"/>
                <w:szCs w:val="28"/>
              </w:rPr>
            </w:pPr>
            <w:r>
              <w:rPr>
                <w:rFonts w:hint="eastAsia" w:ascii="仿宋_GB2312" w:eastAsia="仿宋_GB2312"/>
                <w:sz w:val="28"/>
                <w:szCs w:val="28"/>
              </w:rPr>
              <w:t>7分</w:t>
            </w:r>
          </w:p>
        </w:tc>
        <w:tc>
          <w:tcPr>
            <w:tcW w:w="4722" w:type="dxa"/>
          </w:tcPr>
          <w:p>
            <w:pPr>
              <w:spacing w:line="380" w:lineRule="exact"/>
              <w:rPr>
                <w:rFonts w:ascii="仿宋_GB2312" w:eastAsia="仿宋_GB2312"/>
                <w:b/>
              </w:rPr>
            </w:pPr>
            <w:r>
              <w:rPr>
                <w:rFonts w:hint="eastAsia" w:ascii="仿宋_GB2312" w:eastAsia="仿宋_GB2312"/>
                <w:b/>
              </w:rPr>
              <w:t>1.评分标准：</w:t>
            </w:r>
          </w:p>
          <w:p>
            <w:pPr>
              <w:spacing w:line="380" w:lineRule="exact"/>
              <w:rPr>
                <w:rFonts w:ascii="仿宋_GB2312" w:eastAsia="仿宋_GB2312"/>
              </w:rPr>
            </w:pPr>
            <w:r>
              <w:rPr>
                <w:rFonts w:hint="eastAsia" w:ascii="仿宋_GB2312" w:eastAsia="仿宋_GB2312"/>
              </w:rPr>
              <w:t>结合《光明区各街道产业发展导向指引》《深圳市产业结构调整优化和产业导向目录（2016年修订）》内容，属于：</w:t>
            </w:r>
          </w:p>
          <w:p>
            <w:pPr>
              <w:spacing w:line="380" w:lineRule="exact"/>
              <w:rPr>
                <w:rFonts w:ascii="仿宋_GB2312" w:eastAsia="仿宋_GB2312"/>
              </w:rPr>
            </w:pPr>
            <w:r>
              <w:rPr>
                <w:rFonts w:hint="eastAsia" w:ascii="仿宋_GB2312" w:eastAsia="仿宋_GB2312"/>
              </w:rPr>
              <w:t>一档：辖区重点发展产业类别得100%；</w:t>
            </w:r>
          </w:p>
          <w:p>
            <w:pPr>
              <w:spacing w:line="380" w:lineRule="exact"/>
              <w:rPr>
                <w:rFonts w:ascii="仿宋_GB2312" w:eastAsia="仿宋_GB2312"/>
              </w:rPr>
            </w:pPr>
            <w:r>
              <w:rPr>
                <w:rFonts w:hint="eastAsia" w:ascii="仿宋_GB2312" w:eastAsia="仿宋_GB2312"/>
              </w:rPr>
              <w:t>二档：其他鼓励发展类产业得60%。</w:t>
            </w:r>
          </w:p>
          <w:p>
            <w:pPr>
              <w:spacing w:line="380" w:lineRule="exact"/>
              <w:rPr>
                <w:rFonts w:ascii="仿宋_GB2312" w:eastAsia="仿宋_GB2312"/>
                <w:b/>
              </w:rPr>
            </w:pPr>
            <w:r>
              <w:rPr>
                <w:rFonts w:hint="eastAsia" w:ascii="仿宋_GB2312" w:eastAsia="仿宋_GB2312"/>
                <w:b/>
              </w:rPr>
              <w:t>2.证明文件：</w:t>
            </w:r>
          </w:p>
          <w:p>
            <w:pPr>
              <w:spacing w:line="380" w:lineRule="exact"/>
              <w:rPr>
                <w:rFonts w:ascii="仿宋_GB2312" w:eastAsia="仿宋_GB2312"/>
              </w:rPr>
            </w:pPr>
            <w:r>
              <w:rPr>
                <w:rFonts w:hint="eastAsia" w:ascii="仿宋_GB2312" w:eastAsia="仿宋_GB2312"/>
              </w:rPr>
              <w:t>须提供营业执照复印件及市场监督管理局（商事主体登记及备案信息查询）许可经营信息截图（截图须体现经营范围）或提供专利、知识产权证书或政府给予的研发投入等证明文件复印件加盖投标人公章。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1398" w:hRule="atLeast"/>
        </w:trPr>
        <w:tc>
          <w:tcPr>
            <w:tcW w:w="679" w:type="dxa"/>
            <w:vMerge w:val="continue"/>
          </w:tcPr>
          <w:p>
            <w:pPr>
              <w:rPr>
                <w:sz w:val="2"/>
                <w:szCs w:val="2"/>
              </w:rPr>
            </w:pPr>
          </w:p>
        </w:tc>
        <w:tc>
          <w:tcPr>
            <w:tcW w:w="1369" w:type="dxa"/>
            <w:vAlign w:val="center"/>
          </w:tcPr>
          <w:p>
            <w:pPr>
              <w:spacing w:line="380" w:lineRule="exact"/>
              <w:jc w:val="center"/>
              <w:rPr>
                <w:rFonts w:ascii="仿宋_GB2312" w:eastAsia="仿宋_GB2312"/>
                <w:b/>
                <w:sz w:val="28"/>
                <w:szCs w:val="28"/>
              </w:rPr>
            </w:pPr>
            <w:r>
              <w:rPr>
                <w:rFonts w:hint="eastAsia" w:ascii="仿宋_GB2312" w:eastAsia="仿宋_GB2312"/>
                <w:b/>
                <w:sz w:val="28"/>
                <w:szCs w:val="28"/>
              </w:rPr>
              <w:t>2</w:t>
            </w:r>
          </w:p>
        </w:tc>
        <w:tc>
          <w:tcPr>
            <w:tcW w:w="1369" w:type="dxa"/>
            <w:vAlign w:val="center"/>
          </w:tcPr>
          <w:p>
            <w:pPr>
              <w:spacing w:line="380" w:lineRule="exact"/>
              <w:jc w:val="center"/>
              <w:rPr>
                <w:rFonts w:ascii="仿宋_GB2312" w:eastAsia="仿宋_GB2312"/>
                <w:b/>
                <w:sz w:val="28"/>
                <w:szCs w:val="28"/>
              </w:rPr>
            </w:pPr>
            <w:r>
              <w:rPr>
                <w:rFonts w:hint="eastAsia" w:ascii="仿宋_GB2312" w:eastAsia="仿宋_GB2312"/>
                <w:b/>
                <w:sz w:val="28"/>
                <w:szCs w:val="28"/>
              </w:rPr>
              <w:t>企业资质</w:t>
            </w:r>
          </w:p>
        </w:tc>
        <w:tc>
          <w:tcPr>
            <w:tcW w:w="1369" w:type="dxa"/>
            <w:vAlign w:val="center"/>
          </w:tcPr>
          <w:p>
            <w:pPr>
              <w:spacing w:line="380" w:lineRule="exact"/>
              <w:jc w:val="center"/>
              <w:rPr>
                <w:rFonts w:ascii="仿宋_GB2312" w:eastAsia="仿宋_GB2312"/>
                <w:sz w:val="28"/>
                <w:szCs w:val="28"/>
              </w:rPr>
            </w:pPr>
            <w:r>
              <w:rPr>
                <w:rFonts w:hint="eastAsia" w:ascii="仿宋_GB2312" w:eastAsia="仿宋_GB2312"/>
                <w:sz w:val="28"/>
                <w:szCs w:val="28"/>
              </w:rPr>
              <w:t>10.5</w:t>
            </w:r>
          </w:p>
        </w:tc>
        <w:tc>
          <w:tcPr>
            <w:tcW w:w="4722" w:type="dxa"/>
          </w:tcPr>
          <w:p>
            <w:pPr>
              <w:spacing w:line="380" w:lineRule="exact"/>
              <w:rPr>
                <w:rFonts w:ascii="仿宋_GB2312" w:eastAsia="仿宋_GB2312"/>
                <w:szCs w:val="21"/>
              </w:rPr>
            </w:pPr>
            <w:r>
              <w:rPr>
                <w:rFonts w:hint="eastAsia" w:ascii="仿宋_GB2312" w:eastAsia="仿宋_GB2312"/>
                <w:b/>
                <w:szCs w:val="21"/>
              </w:rPr>
              <w:t>1.评分标准：</w:t>
            </w:r>
          </w:p>
          <w:p>
            <w:pPr>
              <w:spacing w:line="380" w:lineRule="exact"/>
              <w:rPr>
                <w:rFonts w:ascii="仿宋_GB2312" w:eastAsia="仿宋_GB2312"/>
                <w:szCs w:val="21"/>
              </w:rPr>
            </w:pPr>
            <w:r>
              <w:rPr>
                <w:rFonts w:hint="eastAsia" w:ascii="仿宋_GB2312" w:eastAsia="仿宋_GB2312"/>
                <w:szCs w:val="21"/>
              </w:rPr>
              <w:t>一档：世界500强、中国五百强、主板上市、深圳市工业百强、境外上市企业得100</w:t>
            </w:r>
            <w:r>
              <w:rPr>
                <w:rFonts w:hint="eastAsia" w:ascii="仿宋_GB2312" w:eastAsia="仿宋_GB2312"/>
              </w:rPr>
              <w:t>%</w:t>
            </w:r>
            <w:r>
              <w:rPr>
                <w:rFonts w:hint="eastAsia" w:ascii="仿宋_GB2312" w:eastAsia="仿宋_GB2312"/>
                <w:szCs w:val="21"/>
              </w:rPr>
              <w:t>；</w:t>
            </w:r>
          </w:p>
          <w:p>
            <w:pPr>
              <w:spacing w:line="380" w:lineRule="exact"/>
              <w:rPr>
                <w:rFonts w:ascii="仿宋_GB2312" w:eastAsia="仿宋_GB2312"/>
                <w:szCs w:val="21"/>
              </w:rPr>
            </w:pPr>
            <w:r>
              <w:rPr>
                <w:rFonts w:hint="eastAsia" w:ascii="仿宋_GB2312" w:eastAsia="仿宋_GB2312"/>
                <w:szCs w:val="21"/>
              </w:rPr>
              <w:t>二档：中小板、创业板、科技板、国家高新技术、规模以上企业得80</w:t>
            </w:r>
            <w:r>
              <w:rPr>
                <w:rFonts w:hint="eastAsia" w:ascii="仿宋_GB2312" w:eastAsia="仿宋_GB2312"/>
              </w:rPr>
              <w:t>%</w:t>
            </w:r>
            <w:r>
              <w:rPr>
                <w:rFonts w:hint="eastAsia" w:ascii="仿宋_GB2312" w:eastAsia="仿宋_GB2312"/>
                <w:szCs w:val="21"/>
              </w:rPr>
              <w:t>；</w:t>
            </w:r>
          </w:p>
          <w:p>
            <w:pPr>
              <w:spacing w:line="380" w:lineRule="exact"/>
              <w:rPr>
                <w:rFonts w:ascii="仿宋_GB2312" w:eastAsia="仿宋_GB2312"/>
                <w:szCs w:val="21"/>
              </w:rPr>
            </w:pPr>
            <w:r>
              <w:rPr>
                <w:rFonts w:hint="eastAsia" w:ascii="仿宋_GB2312" w:eastAsia="仿宋_GB2312"/>
                <w:szCs w:val="21"/>
              </w:rPr>
              <w:t>三档：新三板企业、深圳市高新技术企业得60</w:t>
            </w:r>
            <w:r>
              <w:rPr>
                <w:rFonts w:hint="eastAsia" w:ascii="仿宋_GB2312" w:eastAsia="仿宋_GB2312"/>
              </w:rPr>
              <w:t>%</w:t>
            </w:r>
            <w:r>
              <w:rPr>
                <w:rFonts w:hint="eastAsia" w:ascii="仿宋_GB2312" w:eastAsia="仿宋_GB2312"/>
                <w:szCs w:val="21"/>
              </w:rPr>
              <w:t>；</w:t>
            </w:r>
          </w:p>
          <w:p>
            <w:pPr>
              <w:spacing w:line="380" w:lineRule="exact"/>
              <w:rPr>
                <w:rFonts w:ascii="仿宋_GB2312" w:eastAsia="仿宋_GB2312"/>
                <w:szCs w:val="21"/>
              </w:rPr>
            </w:pPr>
            <w:r>
              <w:rPr>
                <w:rFonts w:hint="eastAsia" w:ascii="仿宋_GB2312" w:eastAsia="仿宋_GB2312"/>
                <w:szCs w:val="21"/>
              </w:rPr>
              <w:t>四档：符合相关经营法律规范的光明区本土企业（注册地址和纳统关系在光明）得50</w:t>
            </w:r>
            <w:r>
              <w:rPr>
                <w:rFonts w:hint="eastAsia" w:ascii="仿宋_GB2312" w:eastAsia="仿宋_GB2312"/>
              </w:rPr>
              <w:t>%</w:t>
            </w:r>
            <w:r>
              <w:rPr>
                <w:rFonts w:hint="eastAsia" w:ascii="仿宋_GB2312" w:eastAsia="仿宋_GB2312"/>
                <w:szCs w:val="21"/>
              </w:rPr>
              <w:t>；</w:t>
            </w:r>
          </w:p>
          <w:p>
            <w:pPr>
              <w:spacing w:line="380" w:lineRule="exact"/>
              <w:rPr>
                <w:rFonts w:ascii="仿宋_GB2312" w:eastAsia="仿宋_GB2312"/>
                <w:szCs w:val="21"/>
              </w:rPr>
            </w:pPr>
            <w:r>
              <w:rPr>
                <w:rFonts w:hint="eastAsia" w:ascii="仿宋_GB2312" w:eastAsia="仿宋_GB2312"/>
                <w:szCs w:val="21"/>
              </w:rPr>
              <w:t>五档：其他资质或新设企业得30</w:t>
            </w:r>
            <w:r>
              <w:rPr>
                <w:rFonts w:hint="eastAsia" w:ascii="仿宋_GB2312" w:eastAsia="仿宋_GB2312"/>
              </w:rPr>
              <w:t>%</w:t>
            </w:r>
            <w:r>
              <w:rPr>
                <w:rFonts w:hint="eastAsia" w:ascii="仿宋_GB2312" w:eastAsia="仿宋_GB2312"/>
                <w:szCs w:val="21"/>
              </w:rPr>
              <w:t>。</w:t>
            </w:r>
          </w:p>
          <w:p>
            <w:pPr>
              <w:spacing w:line="380" w:lineRule="exact"/>
              <w:rPr>
                <w:rFonts w:ascii="仿宋_GB2312" w:eastAsia="仿宋_GB2312"/>
              </w:rPr>
            </w:pPr>
            <w:r>
              <w:rPr>
                <w:rFonts w:hint="eastAsia" w:ascii="仿宋_GB2312" w:eastAsia="仿宋_GB2312"/>
              </w:rPr>
              <w:t>（就高原则，不累计得分）</w:t>
            </w:r>
          </w:p>
          <w:p>
            <w:pPr>
              <w:spacing w:line="380" w:lineRule="exact"/>
              <w:rPr>
                <w:rFonts w:ascii="仿宋_GB2312" w:eastAsia="仿宋_GB2312"/>
                <w:b/>
                <w:szCs w:val="21"/>
              </w:rPr>
            </w:pPr>
            <w:r>
              <w:rPr>
                <w:rFonts w:hint="eastAsia" w:ascii="仿宋_GB2312" w:eastAsia="仿宋_GB2312"/>
                <w:b/>
                <w:szCs w:val="21"/>
              </w:rPr>
              <w:t>2.证明文件：</w:t>
            </w:r>
          </w:p>
          <w:p>
            <w:pPr>
              <w:spacing w:line="380" w:lineRule="exact"/>
              <w:rPr>
                <w:rFonts w:ascii="仿宋_GB2312" w:eastAsia="仿宋_GB2312"/>
                <w:szCs w:val="21"/>
              </w:rPr>
            </w:pPr>
            <w:r>
              <w:rPr>
                <w:rFonts w:hint="eastAsia" w:ascii="仿宋_GB2312" w:eastAsia="仿宋_GB2312"/>
                <w:szCs w:val="21"/>
              </w:rPr>
              <w:t>须根据所处档级提供对应的一种或多种证明材料复印件并加盖投标人公章，如：</w:t>
            </w:r>
          </w:p>
          <w:p>
            <w:pPr>
              <w:spacing w:line="380" w:lineRule="exact"/>
              <w:rPr>
                <w:rFonts w:ascii="仿宋_GB2312" w:eastAsia="仿宋_GB2312"/>
                <w:szCs w:val="21"/>
              </w:rPr>
            </w:pPr>
            <w:r>
              <w:rPr>
                <w:rFonts w:hint="eastAsia" w:ascii="仿宋_GB2312" w:eastAsia="仿宋_GB2312"/>
                <w:szCs w:val="21"/>
              </w:rPr>
              <w:t>一档：2018年《财富》世界500强排行榜、2018年中国500强企业高峰论坛发布的中国500强排行榜、深圳市统计局公布的《2018年度深圳市工业百强企业名单》、股权证明。IPO批文等；</w:t>
            </w:r>
          </w:p>
          <w:p>
            <w:pPr>
              <w:spacing w:line="380" w:lineRule="exact"/>
              <w:rPr>
                <w:rFonts w:ascii="仿宋_GB2312" w:eastAsia="仿宋_GB2312"/>
                <w:szCs w:val="21"/>
              </w:rPr>
            </w:pPr>
            <w:r>
              <w:rPr>
                <w:rFonts w:hint="eastAsia" w:ascii="仿宋_GB2312" w:eastAsia="仿宋_GB2312"/>
                <w:szCs w:val="21"/>
              </w:rPr>
              <w:t>二档：股权证明、IPO批文、2018年度统计年报或审计报告、国家高新技术企业证书等；</w:t>
            </w:r>
          </w:p>
          <w:p>
            <w:pPr>
              <w:spacing w:line="380" w:lineRule="exact"/>
              <w:rPr>
                <w:rFonts w:ascii="仿宋_GB2312" w:eastAsia="仿宋_GB2312"/>
                <w:szCs w:val="21"/>
              </w:rPr>
            </w:pPr>
            <w:r>
              <w:rPr>
                <w:rFonts w:hint="eastAsia" w:ascii="仿宋_GB2312" w:eastAsia="仿宋_GB2312"/>
                <w:szCs w:val="21"/>
              </w:rPr>
              <w:t>三档：新三板批文、深圳市高新技术企业证书；</w:t>
            </w:r>
          </w:p>
          <w:p>
            <w:pPr>
              <w:spacing w:line="380" w:lineRule="exact"/>
              <w:rPr>
                <w:rFonts w:ascii="仿宋_GB2312" w:eastAsia="仿宋_GB2312"/>
                <w:b/>
              </w:rPr>
            </w:pPr>
            <w:r>
              <w:rPr>
                <w:rFonts w:hint="eastAsia" w:ascii="仿宋_GB2312" w:eastAsia="仿宋_GB2312"/>
                <w:szCs w:val="21"/>
              </w:rPr>
              <w:t>四档、五档：营业执照等。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199" w:hRule="atLeast"/>
        </w:trPr>
        <w:tc>
          <w:tcPr>
            <w:tcW w:w="679" w:type="dxa"/>
            <w:vMerge w:val="continue"/>
          </w:tcPr>
          <w:p>
            <w:pPr>
              <w:rPr>
                <w:sz w:val="2"/>
                <w:szCs w:val="2"/>
              </w:rPr>
            </w:pPr>
          </w:p>
        </w:tc>
        <w:tc>
          <w:tcPr>
            <w:tcW w:w="1369" w:type="dxa"/>
            <w:vAlign w:val="center"/>
          </w:tcPr>
          <w:p>
            <w:pPr>
              <w:spacing w:line="380" w:lineRule="exact"/>
              <w:jc w:val="center"/>
              <w:rPr>
                <w:rFonts w:ascii="仿宋_GB2312" w:eastAsia="仿宋_GB2312"/>
                <w:b/>
                <w:sz w:val="28"/>
                <w:szCs w:val="28"/>
              </w:rPr>
            </w:pPr>
            <w:r>
              <w:rPr>
                <w:rFonts w:hint="eastAsia" w:ascii="仿宋_GB2312" w:eastAsia="仿宋_GB2312"/>
                <w:b/>
                <w:sz w:val="28"/>
                <w:szCs w:val="28"/>
              </w:rPr>
              <w:t>3</w:t>
            </w:r>
          </w:p>
        </w:tc>
        <w:tc>
          <w:tcPr>
            <w:tcW w:w="1369" w:type="dxa"/>
            <w:vAlign w:val="center"/>
          </w:tcPr>
          <w:p>
            <w:pPr>
              <w:spacing w:line="380" w:lineRule="exact"/>
              <w:jc w:val="center"/>
              <w:rPr>
                <w:rFonts w:ascii="仿宋_GB2312" w:eastAsia="仿宋_GB2312"/>
                <w:b/>
                <w:sz w:val="28"/>
                <w:szCs w:val="28"/>
              </w:rPr>
            </w:pPr>
            <w:r>
              <w:rPr>
                <w:rFonts w:hint="eastAsia" w:ascii="仿宋_GB2312" w:eastAsia="仿宋_GB2312"/>
                <w:b/>
                <w:sz w:val="28"/>
                <w:szCs w:val="28"/>
              </w:rPr>
              <w:t>营业收入</w:t>
            </w:r>
          </w:p>
        </w:tc>
        <w:tc>
          <w:tcPr>
            <w:tcW w:w="1369" w:type="dxa"/>
            <w:vAlign w:val="center"/>
          </w:tcPr>
          <w:p>
            <w:pPr>
              <w:spacing w:line="380" w:lineRule="exact"/>
              <w:jc w:val="center"/>
              <w:rPr>
                <w:rFonts w:ascii="仿宋_GB2312" w:eastAsia="仿宋_GB2312"/>
                <w:sz w:val="28"/>
                <w:szCs w:val="28"/>
              </w:rPr>
            </w:pPr>
            <w:r>
              <w:rPr>
                <w:rFonts w:hint="eastAsia" w:ascii="仿宋_GB2312" w:eastAsia="仿宋_GB2312"/>
                <w:sz w:val="28"/>
                <w:szCs w:val="28"/>
              </w:rPr>
              <w:t>10.5</w:t>
            </w:r>
          </w:p>
        </w:tc>
        <w:tc>
          <w:tcPr>
            <w:tcW w:w="4722" w:type="dxa"/>
          </w:tcPr>
          <w:p>
            <w:pPr>
              <w:spacing w:line="380" w:lineRule="exact"/>
              <w:rPr>
                <w:rFonts w:ascii="仿宋_GB2312" w:eastAsia="仿宋_GB2312"/>
                <w:b/>
                <w:szCs w:val="21"/>
              </w:rPr>
            </w:pPr>
            <w:r>
              <w:rPr>
                <w:rFonts w:hint="eastAsia" w:ascii="仿宋_GB2312" w:eastAsia="仿宋_GB2312"/>
                <w:b/>
                <w:szCs w:val="21"/>
              </w:rPr>
              <w:t>1.评分标准：</w:t>
            </w:r>
          </w:p>
          <w:p>
            <w:pPr>
              <w:spacing w:line="380" w:lineRule="exact"/>
              <w:rPr>
                <w:rFonts w:ascii="仿宋_GB2312" w:eastAsia="仿宋_GB2312"/>
              </w:rPr>
            </w:pPr>
            <w:r>
              <w:rPr>
                <w:rFonts w:hint="eastAsia" w:ascii="仿宋_GB2312" w:eastAsia="仿宋_GB2312"/>
              </w:rPr>
              <w:t>对投标人企业上1年度产值或营业收入进行评分：</w:t>
            </w:r>
          </w:p>
          <w:p>
            <w:pPr>
              <w:spacing w:line="380" w:lineRule="exact"/>
              <w:rPr>
                <w:rFonts w:ascii="仿宋_GB2312" w:eastAsia="仿宋_GB2312"/>
              </w:rPr>
            </w:pPr>
            <w:r>
              <w:rPr>
                <w:rFonts w:hint="eastAsia" w:ascii="仿宋_GB2312" w:eastAsia="仿宋_GB2312"/>
              </w:rPr>
              <w:t>一档：100000万元（含）以上得100%；</w:t>
            </w:r>
          </w:p>
          <w:p>
            <w:pPr>
              <w:spacing w:line="380" w:lineRule="exact"/>
              <w:rPr>
                <w:rFonts w:ascii="仿宋_GB2312" w:eastAsia="仿宋_GB2312"/>
              </w:rPr>
            </w:pPr>
            <w:r>
              <w:rPr>
                <w:rFonts w:hint="eastAsia" w:ascii="仿宋_GB2312" w:eastAsia="仿宋_GB2312"/>
              </w:rPr>
              <w:t>二档：10000万元（含）以上得80%；</w:t>
            </w:r>
          </w:p>
          <w:p>
            <w:pPr>
              <w:spacing w:line="380" w:lineRule="exact"/>
              <w:rPr>
                <w:rFonts w:ascii="仿宋_GB2312" w:eastAsia="仿宋_GB2312"/>
              </w:rPr>
            </w:pPr>
            <w:r>
              <w:rPr>
                <w:rFonts w:hint="eastAsia" w:ascii="仿宋_GB2312" w:eastAsia="仿宋_GB2312"/>
              </w:rPr>
              <w:t>三档：2000万元（含）以上得60%；</w:t>
            </w:r>
          </w:p>
          <w:p>
            <w:pPr>
              <w:spacing w:line="380" w:lineRule="exact"/>
              <w:rPr>
                <w:rFonts w:ascii="仿宋_GB2312" w:eastAsia="仿宋_GB2312"/>
              </w:rPr>
            </w:pPr>
            <w:r>
              <w:rPr>
                <w:rFonts w:hint="eastAsia" w:ascii="仿宋_GB2312" w:eastAsia="仿宋_GB2312"/>
              </w:rPr>
              <w:t>四档：100万元（含）以上得50%；</w:t>
            </w:r>
          </w:p>
          <w:p>
            <w:pPr>
              <w:spacing w:line="380" w:lineRule="exact"/>
              <w:rPr>
                <w:rFonts w:ascii="仿宋_GB2312" w:eastAsia="仿宋_GB2312"/>
              </w:rPr>
            </w:pPr>
            <w:r>
              <w:rPr>
                <w:rFonts w:hint="eastAsia" w:ascii="仿宋_GB2312" w:eastAsia="仿宋_GB2312"/>
              </w:rPr>
              <w:t>五档：&lt;100万元或新设立企业得40%。</w:t>
            </w:r>
          </w:p>
          <w:p>
            <w:pPr>
              <w:spacing w:line="380" w:lineRule="exact"/>
              <w:rPr>
                <w:rFonts w:ascii="仿宋_GB2312" w:eastAsia="仿宋_GB2312"/>
              </w:rPr>
            </w:pPr>
            <w:r>
              <w:rPr>
                <w:rFonts w:hint="eastAsia" w:ascii="仿宋_GB2312" w:eastAsia="仿宋_GB2312"/>
              </w:rPr>
              <w:t>（就高原则，不累计得分）</w:t>
            </w:r>
          </w:p>
          <w:p>
            <w:pPr>
              <w:spacing w:line="380" w:lineRule="exact"/>
              <w:rPr>
                <w:rFonts w:ascii="仿宋_GB2312" w:eastAsia="仿宋_GB2312"/>
                <w:b/>
                <w:szCs w:val="21"/>
              </w:rPr>
            </w:pPr>
            <w:r>
              <w:rPr>
                <w:rFonts w:hint="eastAsia" w:ascii="仿宋_GB2312" w:eastAsia="仿宋_GB2312"/>
                <w:b/>
                <w:szCs w:val="21"/>
              </w:rPr>
              <w:t>2.证明文件：</w:t>
            </w:r>
          </w:p>
          <w:p>
            <w:pPr>
              <w:spacing w:line="380" w:lineRule="exact"/>
              <w:rPr>
                <w:rFonts w:ascii="仿宋_GB2312" w:eastAsia="仿宋_GB2312"/>
                <w:b/>
                <w:szCs w:val="21"/>
              </w:rPr>
            </w:pPr>
            <w:r>
              <w:rPr>
                <w:rFonts w:hint="eastAsia" w:ascii="仿宋_GB2312" w:eastAsia="仿宋_GB2312"/>
                <w:szCs w:val="21"/>
              </w:rPr>
              <w:t>投标人须提供由会计师事务所（或审计机构）出具的2019年度审计报告复印件加盖投标人公章，原件备查，未提供审计报告但提供其他相关有效证明材料加盖投标人公章的，按第五档得分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526" w:hRule="atLeast"/>
        </w:trPr>
        <w:tc>
          <w:tcPr>
            <w:tcW w:w="679" w:type="dxa"/>
            <w:vMerge w:val="continue"/>
          </w:tcPr>
          <w:p>
            <w:pPr>
              <w:rPr>
                <w:sz w:val="2"/>
                <w:szCs w:val="2"/>
              </w:rPr>
            </w:pPr>
          </w:p>
        </w:tc>
        <w:tc>
          <w:tcPr>
            <w:tcW w:w="1369" w:type="dxa"/>
            <w:vAlign w:val="center"/>
          </w:tcPr>
          <w:p>
            <w:pPr>
              <w:spacing w:line="380" w:lineRule="exact"/>
              <w:jc w:val="center"/>
              <w:rPr>
                <w:rFonts w:ascii="仿宋_GB2312" w:eastAsia="仿宋_GB2312"/>
                <w:b/>
                <w:sz w:val="28"/>
                <w:szCs w:val="28"/>
              </w:rPr>
            </w:pPr>
            <w:r>
              <w:rPr>
                <w:rFonts w:hint="eastAsia" w:ascii="仿宋_GB2312" w:eastAsia="仿宋_GB2312"/>
                <w:b/>
                <w:sz w:val="28"/>
                <w:szCs w:val="28"/>
              </w:rPr>
              <w:t>4</w:t>
            </w:r>
          </w:p>
        </w:tc>
        <w:tc>
          <w:tcPr>
            <w:tcW w:w="1369" w:type="dxa"/>
            <w:vAlign w:val="center"/>
          </w:tcPr>
          <w:p>
            <w:pPr>
              <w:spacing w:line="380" w:lineRule="exact"/>
              <w:jc w:val="center"/>
              <w:rPr>
                <w:rFonts w:ascii="仿宋_GB2312" w:eastAsia="仿宋_GB2312"/>
                <w:b/>
                <w:sz w:val="28"/>
                <w:szCs w:val="28"/>
              </w:rPr>
            </w:pPr>
            <w:r>
              <w:rPr>
                <w:rFonts w:hint="eastAsia" w:ascii="仿宋_GB2312" w:eastAsia="仿宋_GB2312"/>
                <w:b/>
                <w:sz w:val="28"/>
                <w:szCs w:val="28"/>
              </w:rPr>
              <w:t>税收贡献</w:t>
            </w:r>
          </w:p>
        </w:tc>
        <w:tc>
          <w:tcPr>
            <w:tcW w:w="1369" w:type="dxa"/>
            <w:vAlign w:val="center"/>
          </w:tcPr>
          <w:p>
            <w:pPr>
              <w:spacing w:line="380" w:lineRule="exact"/>
              <w:jc w:val="center"/>
              <w:rPr>
                <w:rFonts w:ascii="仿宋_GB2312" w:eastAsia="仿宋_GB2312"/>
                <w:sz w:val="28"/>
                <w:szCs w:val="28"/>
              </w:rPr>
            </w:pPr>
            <w:r>
              <w:rPr>
                <w:rFonts w:hint="eastAsia" w:ascii="仿宋_GB2312" w:eastAsia="仿宋_GB2312"/>
                <w:sz w:val="28"/>
                <w:szCs w:val="28"/>
              </w:rPr>
              <w:t>10.5分</w:t>
            </w:r>
          </w:p>
        </w:tc>
        <w:tc>
          <w:tcPr>
            <w:tcW w:w="4722" w:type="dxa"/>
          </w:tcPr>
          <w:p>
            <w:pPr>
              <w:spacing w:line="380" w:lineRule="exact"/>
              <w:rPr>
                <w:rFonts w:ascii="仿宋_GB2312" w:eastAsia="仿宋_GB2312"/>
                <w:b/>
                <w:szCs w:val="21"/>
              </w:rPr>
            </w:pPr>
            <w:r>
              <w:rPr>
                <w:rFonts w:hint="eastAsia" w:ascii="仿宋_GB2312" w:eastAsia="仿宋_GB2312"/>
                <w:b/>
                <w:szCs w:val="21"/>
              </w:rPr>
              <w:t>1.评分标准：</w:t>
            </w:r>
          </w:p>
          <w:p>
            <w:pPr>
              <w:spacing w:line="380" w:lineRule="exact"/>
              <w:rPr>
                <w:rFonts w:ascii="仿宋_GB2312" w:eastAsia="仿宋_GB2312"/>
                <w:szCs w:val="21"/>
              </w:rPr>
            </w:pPr>
            <w:r>
              <w:rPr>
                <w:rFonts w:hint="eastAsia" w:ascii="仿宋_GB2312" w:eastAsia="仿宋_GB2312"/>
              </w:rPr>
              <w:t>对投标人企业上1年度</w:t>
            </w:r>
            <w:r>
              <w:rPr>
                <w:rFonts w:hint="eastAsia" w:ascii="仿宋_GB2312" w:eastAsia="仿宋_GB2312"/>
                <w:szCs w:val="21"/>
              </w:rPr>
              <w:t>纳税进行比较评分：</w:t>
            </w:r>
          </w:p>
          <w:p>
            <w:pPr>
              <w:spacing w:line="380" w:lineRule="exact"/>
              <w:rPr>
                <w:rFonts w:ascii="仿宋_GB2312" w:eastAsia="仿宋_GB2312"/>
              </w:rPr>
            </w:pPr>
            <w:r>
              <w:rPr>
                <w:rFonts w:hint="eastAsia" w:ascii="仿宋_GB2312" w:eastAsia="仿宋_GB2312"/>
              </w:rPr>
              <w:t>一档：5000万元（含）以上得100%；</w:t>
            </w:r>
          </w:p>
          <w:p>
            <w:pPr>
              <w:spacing w:line="380" w:lineRule="exact"/>
              <w:rPr>
                <w:rFonts w:ascii="仿宋_GB2312" w:eastAsia="仿宋_GB2312"/>
              </w:rPr>
            </w:pPr>
            <w:r>
              <w:rPr>
                <w:rFonts w:hint="eastAsia" w:ascii="仿宋_GB2312" w:eastAsia="仿宋_GB2312"/>
              </w:rPr>
              <w:t>二档：1000万元（含）以上得80%；</w:t>
            </w:r>
          </w:p>
          <w:p>
            <w:pPr>
              <w:spacing w:line="380" w:lineRule="exact"/>
              <w:rPr>
                <w:rFonts w:ascii="仿宋_GB2312" w:eastAsia="仿宋_GB2312"/>
              </w:rPr>
            </w:pPr>
            <w:r>
              <w:rPr>
                <w:rFonts w:hint="eastAsia" w:ascii="仿宋_GB2312" w:eastAsia="仿宋_GB2312"/>
              </w:rPr>
              <w:t>三档：100万元（含）以上得60%；</w:t>
            </w:r>
          </w:p>
          <w:p>
            <w:pPr>
              <w:spacing w:line="380" w:lineRule="exact"/>
              <w:rPr>
                <w:rFonts w:ascii="仿宋_GB2312" w:eastAsia="仿宋_GB2312"/>
              </w:rPr>
            </w:pPr>
            <w:r>
              <w:rPr>
                <w:rFonts w:hint="eastAsia" w:ascii="仿宋_GB2312" w:eastAsia="仿宋_GB2312"/>
              </w:rPr>
              <w:t>四档：10万元（含）以上得50%；</w:t>
            </w:r>
          </w:p>
          <w:p>
            <w:pPr>
              <w:spacing w:line="380" w:lineRule="exact"/>
              <w:rPr>
                <w:rFonts w:ascii="仿宋_GB2312" w:eastAsia="仿宋_GB2312"/>
              </w:rPr>
            </w:pPr>
            <w:r>
              <w:rPr>
                <w:rFonts w:hint="eastAsia" w:ascii="仿宋_GB2312" w:eastAsia="仿宋_GB2312"/>
              </w:rPr>
              <w:t>五档：</w:t>
            </w:r>
            <w:r>
              <w:rPr>
                <w:rFonts w:ascii="仿宋_GB2312" w:eastAsia="仿宋_GB2312"/>
              </w:rPr>
              <w:t>&lt;</w:t>
            </w:r>
            <w:r>
              <w:rPr>
                <w:rFonts w:hint="eastAsia" w:ascii="仿宋_GB2312" w:eastAsia="仿宋_GB2312"/>
              </w:rPr>
              <w:t>10万元或新设立企业得40%。</w:t>
            </w:r>
          </w:p>
          <w:p>
            <w:pPr>
              <w:spacing w:line="380" w:lineRule="exact"/>
              <w:rPr>
                <w:rFonts w:ascii="仿宋_GB2312" w:eastAsia="仿宋_GB2312"/>
              </w:rPr>
            </w:pPr>
            <w:r>
              <w:rPr>
                <w:rFonts w:hint="eastAsia" w:ascii="仿宋_GB2312" w:eastAsia="仿宋_GB2312"/>
              </w:rPr>
              <w:t>（就高原则，不累计得分）</w:t>
            </w:r>
          </w:p>
          <w:p>
            <w:pPr>
              <w:spacing w:line="380" w:lineRule="exact"/>
              <w:rPr>
                <w:rFonts w:ascii="仿宋_GB2312" w:eastAsia="仿宋_GB2312"/>
                <w:b/>
                <w:szCs w:val="21"/>
              </w:rPr>
            </w:pPr>
            <w:r>
              <w:rPr>
                <w:rFonts w:hint="eastAsia" w:ascii="仿宋_GB2312" w:eastAsia="仿宋_GB2312"/>
                <w:b/>
                <w:szCs w:val="21"/>
              </w:rPr>
              <w:t>2.证明文件</w:t>
            </w:r>
          </w:p>
          <w:p>
            <w:pPr>
              <w:spacing w:line="380" w:lineRule="exact"/>
              <w:rPr>
                <w:rFonts w:ascii="仿宋_GB2312" w:eastAsia="仿宋_GB2312"/>
                <w:szCs w:val="21"/>
              </w:rPr>
            </w:pPr>
            <w:r>
              <w:rPr>
                <w:rFonts w:hint="eastAsia" w:ascii="仿宋_GB2312" w:eastAsia="仿宋_GB2312"/>
                <w:szCs w:val="21"/>
              </w:rPr>
              <w:t>投标人须提供税务部门出具的2019年度纳税证明复印件加盖投标人公章（国税和地税的税收数额可叠加），原件备查，未提供纳税证明材料但提供其他相关有效证明加盖投标人公章的，按第五档标准得分。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102" w:hRule="atLeast"/>
        </w:trPr>
        <w:tc>
          <w:tcPr>
            <w:tcW w:w="679" w:type="dxa"/>
            <w:vMerge w:val="continue"/>
          </w:tcPr>
          <w:p>
            <w:pPr>
              <w:rPr>
                <w:sz w:val="2"/>
                <w:szCs w:val="2"/>
              </w:rPr>
            </w:pPr>
          </w:p>
        </w:tc>
        <w:tc>
          <w:tcPr>
            <w:tcW w:w="1369" w:type="dxa"/>
            <w:vAlign w:val="center"/>
          </w:tcPr>
          <w:p>
            <w:pPr>
              <w:spacing w:line="380" w:lineRule="exact"/>
              <w:jc w:val="center"/>
              <w:rPr>
                <w:rFonts w:ascii="仿宋_GB2312" w:eastAsia="仿宋_GB2312"/>
                <w:b/>
                <w:sz w:val="28"/>
                <w:szCs w:val="28"/>
              </w:rPr>
            </w:pPr>
            <w:r>
              <w:rPr>
                <w:rFonts w:hint="eastAsia" w:ascii="仿宋_GB2312" w:eastAsia="仿宋_GB2312"/>
                <w:b/>
                <w:sz w:val="28"/>
                <w:szCs w:val="28"/>
              </w:rPr>
              <w:t>5</w:t>
            </w:r>
          </w:p>
        </w:tc>
        <w:tc>
          <w:tcPr>
            <w:tcW w:w="1369" w:type="dxa"/>
            <w:vAlign w:val="center"/>
          </w:tcPr>
          <w:p>
            <w:pPr>
              <w:spacing w:line="380" w:lineRule="exact"/>
              <w:jc w:val="center"/>
              <w:rPr>
                <w:rFonts w:ascii="仿宋_GB2312" w:eastAsia="仿宋_GB2312"/>
                <w:b/>
                <w:sz w:val="28"/>
                <w:szCs w:val="28"/>
              </w:rPr>
            </w:pPr>
            <w:r>
              <w:rPr>
                <w:rFonts w:hint="eastAsia" w:ascii="仿宋_GB2312" w:eastAsia="仿宋_GB2312"/>
                <w:b/>
                <w:sz w:val="28"/>
                <w:szCs w:val="28"/>
              </w:rPr>
              <w:t>成长指标</w:t>
            </w:r>
          </w:p>
        </w:tc>
        <w:tc>
          <w:tcPr>
            <w:tcW w:w="1369" w:type="dxa"/>
            <w:vAlign w:val="center"/>
          </w:tcPr>
          <w:p>
            <w:pPr>
              <w:spacing w:line="380" w:lineRule="exact"/>
              <w:jc w:val="center"/>
              <w:rPr>
                <w:rFonts w:ascii="仿宋_GB2312" w:eastAsia="仿宋_GB2312"/>
                <w:sz w:val="28"/>
                <w:szCs w:val="28"/>
              </w:rPr>
            </w:pPr>
            <w:r>
              <w:rPr>
                <w:rFonts w:hint="eastAsia" w:ascii="仿宋_GB2312" w:eastAsia="仿宋_GB2312"/>
                <w:sz w:val="28"/>
                <w:szCs w:val="28"/>
              </w:rPr>
              <w:t>7分</w:t>
            </w:r>
          </w:p>
        </w:tc>
        <w:tc>
          <w:tcPr>
            <w:tcW w:w="4722" w:type="dxa"/>
          </w:tcPr>
          <w:p>
            <w:pPr>
              <w:spacing w:line="380" w:lineRule="exact"/>
              <w:rPr>
                <w:rFonts w:ascii="仿宋_GB2312" w:eastAsia="仿宋_GB2312"/>
                <w:b/>
                <w:szCs w:val="21"/>
              </w:rPr>
            </w:pPr>
            <w:r>
              <w:rPr>
                <w:rFonts w:hint="eastAsia" w:ascii="仿宋_GB2312" w:eastAsia="仿宋_GB2312"/>
                <w:b/>
                <w:szCs w:val="21"/>
              </w:rPr>
              <w:t>1.评分标准：</w:t>
            </w:r>
          </w:p>
          <w:p>
            <w:pPr>
              <w:spacing w:line="380" w:lineRule="exact"/>
              <w:rPr>
                <w:rFonts w:ascii="仿宋_GB2312" w:eastAsia="仿宋_GB2312"/>
                <w:szCs w:val="21"/>
              </w:rPr>
            </w:pPr>
            <w:r>
              <w:rPr>
                <w:rFonts w:hint="eastAsia" w:ascii="仿宋_GB2312" w:eastAsia="仿宋_GB2312"/>
                <w:szCs w:val="21"/>
              </w:rPr>
              <w:t>一档：前三个年度产值或营业收入平均增长率30%（含）以上或成立不足三年获得省级及以上证书、奖励、称号等得100</w:t>
            </w:r>
            <w:r>
              <w:rPr>
                <w:rFonts w:hint="eastAsia" w:ascii="仿宋_GB2312" w:eastAsia="仿宋_GB2312"/>
              </w:rPr>
              <w:t>%</w:t>
            </w:r>
            <w:r>
              <w:rPr>
                <w:rFonts w:hint="eastAsia" w:ascii="仿宋_GB2312" w:eastAsia="仿宋_GB2312"/>
                <w:szCs w:val="21"/>
              </w:rPr>
              <w:t>；</w:t>
            </w:r>
          </w:p>
          <w:p>
            <w:pPr>
              <w:spacing w:line="380" w:lineRule="exact"/>
              <w:rPr>
                <w:rFonts w:ascii="仿宋_GB2312" w:eastAsia="仿宋_GB2312"/>
                <w:szCs w:val="21"/>
              </w:rPr>
            </w:pPr>
            <w:r>
              <w:rPr>
                <w:rFonts w:hint="eastAsia" w:ascii="仿宋_GB2312" w:eastAsia="仿宋_GB2312"/>
                <w:szCs w:val="21"/>
              </w:rPr>
              <w:t>二档：前三个年度产值或营业收入平均增长率20%（含）以上或成立不足三年获得市级证书、奖励、称号等得80</w:t>
            </w:r>
            <w:r>
              <w:rPr>
                <w:rFonts w:hint="eastAsia" w:ascii="仿宋_GB2312" w:eastAsia="仿宋_GB2312"/>
              </w:rPr>
              <w:t>%</w:t>
            </w:r>
            <w:r>
              <w:rPr>
                <w:rFonts w:hint="eastAsia" w:ascii="仿宋_GB2312" w:eastAsia="仿宋_GB2312"/>
                <w:szCs w:val="21"/>
              </w:rPr>
              <w:t>；</w:t>
            </w:r>
          </w:p>
          <w:p>
            <w:pPr>
              <w:spacing w:line="380" w:lineRule="exact"/>
              <w:rPr>
                <w:rFonts w:ascii="仿宋_GB2312" w:eastAsia="仿宋_GB2312"/>
                <w:szCs w:val="21"/>
              </w:rPr>
            </w:pPr>
            <w:r>
              <w:rPr>
                <w:rFonts w:hint="eastAsia" w:ascii="仿宋_GB2312" w:eastAsia="仿宋_GB2312"/>
                <w:szCs w:val="21"/>
              </w:rPr>
              <w:t>三档：前三个年度产值或营业收入平均增长率10%（含）以上或成立不足三年获得区级证书、奖励、称号等得70</w:t>
            </w:r>
            <w:r>
              <w:rPr>
                <w:rFonts w:hint="eastAsia" w:ascii="仿宋_GB2312" w:eastAsia="仿宋_GB2312"/>
              </w:rPr>
              <w:t>%</w:t>
            </w:r>
            <w:r>
              <w:rPr>
                <w:rFonts w:hint="eastAsia" w:ascii="仿宋_GB2312" w:eastAsia="仿宋_GB2312"/>
                <w:szCs w:val="21"/>
              </w:rPr>
              <w:t>；</w:t>
            </w:r>
          </w:p>
          <w:p>
            <w:pPr>
              <w:spacing w:line="380" w:lineRule="exact"/>
              <w:rPr>
                <w:rFonts w:ascii="仿宋_GB2312" w:eastAsia="仿宋_GB2312"/>
                <w:szCs w:val="21"/>
              </w:rPr>
            </w:pPr>
            <w:r>
              <w:rPr>
                <w:rFonts w:hint="eastAsia" w:ascii="仿宋_GB2312" w:eastAsia="仿宋_GB2312"/>
                <w:szCs w:val="21"/>
              </w:rPr>
              <w:t>四档：前三个年度产值或营业收入平均增长率5%（含）以上得60</w:t>
            </w:r>
            <w:r>
              <w:rPr>
                <w:rFonts w:hint="eastAsia" w:ascii="仿宋_GB2312" w:eastAsia="仿宋_GB2312"/>
              </w:rPr>
              <w:t>%</w:t>
            </w:r>
            <w:r>
              <w:rPr>
                <w:rFonts w:hint="eastAsia" w:ascii="仿宋_GB2312" w:eastAsia="仿宋_GB2312"/>
                <w:szCs w:val="21"/>
              </w:rPr>
              <w:t>；</w:t>
            </w:r>
          </w:p>
          <w:p>
            <w:pPr>
              <w:spacing w:line="380" w:lineRule="exact"/>
              <w:rPr>
                <w:rFonts w:ascii="仿宋_GB2312" w:eastAsia="仿宋_GB2312"/>
                <w:szCs w:val="21"/>
              </w:rPr>
            </w:pPr>
            <w:r>
              <w:rPr>
                <w:rFonts w:hint="eastAsia" w:ascii="仿宋_GB2312" w:eastAsia="仿宋_GB2312"/>
                <w:szCs w:val="21"/>
              </w:rPr>
              <w:t>五档：前三个年度产值或营业收入平均增长率5%（不含）以下或成立不满三年得50</w:t>
            </w:r>
            <w:r>
              <w:rPr>
                <w:rFonts w:hint="eastAsia" w:ascii="仿宋_GB2312" w:eastAsia="仿宋_GB2312"/>
              </w:rPr>
              <w:t>%</w:t>
            </w:r>
            <w:r>
              <w:rPr>
                <w:rFonts w:hint="eastAsia" w:ascii="仿宋_GB2312" w:eastAsia="仿宋_GB2312"/>
                <w:szCs w:val="21"/>
              </w:rPr>
              <w:t>。</w:t>
            </w:r>
          </w:p>
          <w:p>
            <w:pPr>
              <w:spacing w:line="380" w:lineRule="exact"/>
              <w:rPr>
                <w:rFonts w:ascii="仿宋_GB2312" w:eastAsia="仿宋_GB2312"/>
              </w:rPr>
            </w:pPr>
            <w:r>
              <w:rPr>
                <w:rFonts w:hint="eastAsia" w:ascii="仿宋_GB2312" w:eastAsia="仿宋_GB2312"/>
              </w:rPr>
              <w:t>（就高原则，不累计得分）</w:t>
            </w:r>
          </w:p>
          <w:p>
            <w:pPr>
              <w:spacing w:line="380" w:lineRule="exact"/>
              <w:rPr>
                <w:rFonts w:ascii="仿宋_GB2312" w:eastAsia="仿宋_GB2312"/>
                <w:b/>
                <w:szCs w:val="21"/>
              </w:rPr>
            </w:pPr>
            <w:r>
              <w:rPr>
                <w:rFonts w:hint="eastAsia" w:ascii="仿宋_GB2312" w:eastAsia="仿宋_GB2312"/>
                <w:b/>
                <w:szCs w:val="21"/>
              </w:rPr>
              <w:t>2.证明文件：</w:t>
            </w:r>
          </w:p>
          <w:p>
            <w:pPr>
              <w:spacing w:line="380" w:lineRule="exact"/>
              <w:rPr>
                <w:rFonts w:ascii="仿宋_GB2312" w:eastAsia="仿宋_GB2312"/>
                <w:szCs w:val="21"/>
              </w:rPr>
            </w:pPr>
            <w:r>
              <w:rPr>
                <w:rFonts w:hint="eastAsia" w:ascii="仿宋_GB2312" w:eastAsia="仿宋_GB2312"/>
                <w:szCs w:val="21"/>
              </w:rPr>
              <w:t>须提供营业执照和由会计师事务所（或审计机构）出具的2017-2019年度审计报告或相关证书、奖励、称号复印件加盖投标人公章，原件备查，提供的证明文件不清晰导致专家无法判断的，不得分。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243" w:hRule="atLeast"/>
        </w:trPr>
        <w:tc>
          <w:tcPr>
            <w:tcW w:w="679" w:type="dxa"/>
            <w:vMerge w:val="continue"/>
          </w:tcPr>
          <w:p>
            <w:pPr>
              <w:rPr>
                <w:sz w:val="2"/>
                <w:szCs w:val="2"/>
              </w:rPr>
            </w:pPr>
          </w:p>
        </w:tc>
        <w:tc>
          <w:tcPr>
            <w:tcW w:w="1369" w:type="dxa"/>
            <w:vAlign w:val="center"/>
          </w:tcPr>
          <w:p>
            <w:pPr>
              <w:spacing w:line="380" w:lineRule="exact"/>
              <w:jc w:val="center"/>
              <w:rPr>
                <w:rFonts w:ascii="仿宋_GB2312" w:eastAsia="仿宋_GB2312"/>
                <w:b/>
                <w:sz w:val="28"/>
                <w:szCs w:val="28"/>
              </w:rPr>
            </w:pPr>
            <w:r>
              <w:rPr>
                <w:rFonts w:hint="eastAsia" w:ascii="仿宋_GB2312" w:eastAsia="仿宋_GB2312"/>
                <w:b/>
                <w:sz w:val="28"/>
                <w:szCs w:val="28"/>
              </w:rPr>
              <w:t>6</w:t>
            </w:r>
          </w:p>
        </w:tc>
        <w:tc>
          <w:tcPr>
            <w:tcW w:w="1369" w:type="dxa"/>
            <w:vAlign w:val="center"/>
          </w:tcPr>
          <w:p>
            <w:pPr>
              <w:spacing w:line="380" w:lineRule="exact"/>
              <w:rPr>
                <w:rFonts w:ascii="仿宋_GB2312" w:eastAsia="仿宋_GB2312"/>
                <w:b/>
                <w:sz w:val="28"/>
                <w:szCs w:val="28"/>
              </w:rPr>
            </w:pPr>
            <w:r>
              <w:rPr>
                <w:rFonts w:hint="eastAsia" w:ascii="仿宋_GB2312" w:eastAsia="仿宋_GB2312"/>
                <w:b/>
                <w:sz w:val="28"/>
                <w:szCs w:val="28"/>
              </w:rPr>
              <w:t>投资指标</w:t>
            </w:r>
          </w:p>
        </w:tc>
        <w:tc>
          <w:tcPr>
            <w:tcW w:w="1369" w:type="dxa"/>
            <w:vAlign w:val="center"/>
          </w:tcPr>
          <w:p>
            <w:pPr>
              <w:spacing w:line="380" w:lineRule="exact"/>
              <w:jc w:val="center"/>
              <w:rPr>
                <w:rFonts w:ascii="仿宋_GB2312" w:eastAsia="仿宋_GB2312"/>
                <w:sz w:val="28"/>
                <w:szCs w:val="28"/>
              </w:rPr>
            </w:pPr>
            <w:r>
              <w:rPr>
                <w:rFonts w:hint="eastAsia" w:ascii="仿宋_GB2312" w:eastAsia="仿宋_GB2312"/>
                <w:sz w:val="28"/>
                <w:szCs w:val="28"/>
              </w:rPr>
              <w:t>7分</w:t>
            </w:r>
          </w:p>
        </w:tc>
        <w:tc>
          <w:tcPr>
            <w:tcW w:w="4722" w:type="dxa"/>
          </w:tcPr>
          <w:p>
            <w:pPr>
              <w:spacing w:line="380" w:lineRule="exact"/>
              <w:rPr>
                <w:rFonts w:ascii="仿宋_GB2312" w:eastAsia="仿宋_GB2312"/>
                <w:b/>
              </w:rPr>
            </w:pPr>
            <w:r>
              <w:rPr>
                <w:rFonts w:hint="eastAsia" w:ascii="仿宋_GB2312" w:eastAsia="仿宋_GB2312"/>
                <w:b/>
              </w:rPr>
              <w:t>1.评分标准：</w:t>
            </w:r>
          </w:p>
          <w:p>
            <w:pPr>
              <w:spacing w:line="380" w:lineRule="exact"/>
              <w:rPr>
                <w:rFonts w:ascii="仿宋_GB2312" w:eastAsia="仿宋_GB2312"/>
              </w:rPr>
            </w:pPr>
            <w:r>
              <w:rPr>
                <w:rFonts w:hint="eastAsia" w:ascii="仿宋_GB2312" w:eastAsia="仿宋_GB2312"/>
              </w:rPr>
              <w:t>一档：投资额达100000万元人民币（含）以上，或30000万美元(含)以上得100%；</w:t>
            </w:r>
          </w:p>
          <w:p>
            <w:pPr>
              <w:spacing w:line="380" w:lineRule="exact"/>
              <w:rPr>
                <w:rFonts w:ascii="仿宋_GB2312" w:eastAsia="仿宋_GB2312"/>
              </w:rPr>
            </w:pPr>
            <w:r>
              <w:rPr>
                <w:rFonts w:hint="eastAsia" w:ascii="仿宋_GB2312" w:eastAsia="仿宋_GB2312"/>
              </w:rPr>
              <w:t>二档：投资额达50000万元人民币（含）以上，或15000万美元(含)以上得80%；</w:t>
            </w:r>
          </w:p>
          <w:p>
            <w:pPr>
              <w:spacing w:line="380" w:lineRule="exact"/>
              <w:rPr>
                <w:rFonts w:ascii="仿宋_GB2312" w:eastAsia="仿宋_GB2312"/>
              </w:rPr>
            </w:pPr>
            <w:r>
              <w:rPr>
                <w:rFonts w:hint="eastAsia" w:ascii="仿宋_GB2312" w:eastAsia="仿宋_GB2312"/>
              </w:rPr>
              <w:t>三档：投资额达10000万元人民币（含）以上，或3000万美元(含)以上得60%；</w:t>
            </w:r>
          </w:p>
          <w:p>
            <w:pPr>
              <w:spacing w:line="380" w:lineRule="exact"/>
              <w:rPr>
                <w:rFonts w:ascii="仿宋_GB2312" w:eastAsia="仿宋_GB2312"/>
              </w:rPr>
            </w:pPr>
            <w:r>
              <w:rPr>
                <w:rFonts w:hint="eastAsia" w:ascii="仿宋_GB2312" w:eastAsia="仿宋_GB2312"/>
              </w:rPr>
              <w:t>四档：投资额达1000万元人民币（含）以上得40%；</w:t>
            </w:r>
          </w:p>
          <w:p>
            <w:pPr>
              <w:spacing w:line="380" w:lineRule="exact"/>
              <w:rPr>
                <w:rFonts w:ascii="仿宋_GB2312" w:eastAsia="仿宋_GB2312"/>
              </w:rPr>
            </w:pPr>
            <w:r>
              <w:rPr>
                <w:rFonts w:hint="eastAsia" w:ascii="仿宋_GB2312" w:eastAsia="仿宋_GB2312"/>
              </w:rPr>
              <w:t>五档：500万元人民币（含）以上得30%。</w:t>
            </w:r>
          </w:p>
          <w:p>
            <w:pPr>
              <w:spacing w:line="380" w:lineRule="exact"/>
              <w:rPr>
                <w:rFonts w:ascii="仿宋_GB2312" w:eastAsia="仿宋_GB2312"/>
              </w:rPr>
            </w:pPr>
            <w:r>
              <w:rPr>
                <w:rFonts w:hint="eastAsia" w:ascii="仿宋_GB2312" w:eastAsia="仿宋_GB2312"/>
              </w:rPr>
              <w:t>（就高原则，不累计得分）</w:t>
            </w:r>
          </w:p>
          <w:p>
            <w:pPr>
              <w:spacing w:line="380" w:lineRule="exact"/>
              <w:rPr>
                <w:rFonts w:ascii="仿宋_GB2312" w:eastAsia="仿宋_GB2312"/>
              </w:rPr>
            </w:pPr>
            <w:r>
              <w:rPr>
                <w:rFonts w:hint="eastAsia" w:ascii="仿宋_GB2312" w:eastAsia="仿宋_GB2312"/>
                <w:b/>
              </w:rPr>
              <w:t>2.</w:t>
            </w:r>
            <w:r>
              <w:rPr>
                <w:rFonts w:hint="eastAsia" w:ascii="仿宋_GB2312" w:eastAsia="仿宋_GB2312"/>
                <w:b/>
                <w:szCs w:val="21"/>
              </w:rPr>
              <w:t>证明文件：</w:t>
            </w:r>
          </w:p>
          <w:p>
            <w:pPr>
              <w:spacing w:line="380" w:lineRule="exact"/>
              <w:rPr>
                <w:rFonts w:ascii="仿宋_GB2312" w:eastAsia="仿宋_GB2312"/>
                <w:szCs w:val="21"/>
              </w:rPr>
            </w:pPr>
            <w:r>
              <w:rPr>
                <w:rFonts w:hint="eastAsia" w:ascii="仿宋_GB2312" w:eastAsia="仿宋_GB2312"/>
                <w:szCs w:val="21"/>
              </w:rPr>
              <w:t>提供对本项目的投资计划（建议）书或项目可行性分析研究报告复印件加盖投标人公章，投资可包括投入的资金、设施等。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804" w:hRule="atLeast"/>
        </w:trPr>
        <w:tc>
          <w:tcPr>
            <w:tcW w:w="679" w:type="dxa"/>
          </w:tcPr>
          <w:p>
            <w:pPr>
              <w:rPr>
                <w:sz w:val="2"/>
                <w:szCs w:val="2"/>
              </w:rPr>
            </w:pPr>
          </w:p>
        </w:tc>
        <w:tc>
          <w:tcPr>
            <w:tcW w:w="1369" w:type="dxa"/>
            <w:vAlign w:val="center"/>
          </w:tcPr>
          <w:p>
            <w:pPr>
              <w:spacing w:line="380" w:lineRule="exact"/>
              <w:jc w:val="center"/>
              <w:rPr>
                <w:rFonts w:ascii="仿宋_GB2312" w:eastAsia="仿宋_GB2312"/>
                <w:b/>
                <w:sz w:val="28"/>
                <w:szCs w:val="28"/>
              </w:rPr>
            </w:pPr>
            <w:r>
              <w:rPr>
                <w:rFonts w:hint="eastAsia" w:ascii="仿宋_GB2312" w:eastAsia="仿宋_GB2312"/>
                <w:b/>
                <w:sz w:val="28"/>
                <w:szCs w:val="28"/>
              </w:rPr>
              <w:t>7</w:t>
            </w:r>
          </w:p>
        </w:tc>
        <w:tc>
          <w:tcPr>
            <w:tcW w:w="1369" w:type="dxa"/>
            <w:vAlign w:val="center"/>
          </w:tcPr>
          <w:p>
            <w:pPr>
              <w:spacing w:line="380" w:lineRule="exact"/>
              <w:jc w:val="center"/>
              <w:rPr>
                <w:rFonts w:ascii="仿宋_GB2312" w:eastAsia="仿宋_GB2312"/>
                <w:b/>
                <w:sz w:val="28"/>
                <w:szCs w:val="28"/>
              </w:rPr>
            </w:pPr>
            <w:r>
              <w:rPr>
                <w:rFonts w:hint="eastAsia" w:ascii="仿宋_GB2312" w:eastAsia="仿宋_GB2312"/>
                <w:b/>
                <w:sz w:val="28"/>
                <w:szCs w:val="28"/>
              </w:rPr>
              <w:t>技术指标</w:t>
            </w:r>
          </w:p>
        </w:tc>
        <w:tc>
          <w:tcPr>
            <w:tcW w:w="1369" w:type="dxa"/>
            <w:vAlign w:val="center"/>
          </w:tcPr>
          <w:p>
            <w:pPr>
              <w:spacing w:line="380" w:lineRule="exact"/>
              <w:jc w:val="center"/>
              <w:rPr>
                <w:rFonts w:ascii="仿宋_GB2312" w:eastAsia="仿宋_GB2312"/>
                <w:sz w:val="28"/>
                <w:szCs w:val="28"/>
              </w:rPr>
            </w:pPr>
            <w:r>
              <w:rPr>
                <w:rFonts w:hint="eastAsia" w:ascii="仿宋_GB2312" w:eastAsia="仿宋_GB2312"/>
                <w:sz w:val="28"/>
                <w:szCs w:val="28"/>
              </w:rPr>
              <w:t>3.5分</w:t>
            </w:r>
          </w:p>
        </w:tc>
        <w:tc>
          <w:tcPr>
            <w:tcW w:w="4722" w:type="dxa"/>
          </w:tcPr>
          <w:p>
            <w:pPr>
              <w:spacing w:line="380" w:lineRule="exact"/>
              <w:rPr>
                <w:rFonts w:ascii="仿宋_GB2312" w:eastAsia="仿宋_GB2312"/>
                <w:b/>
                <w:szCs w:val="21"/>
              </w:rPr>
            </w:pPr>
            <w:r>
              <w:rPr>
                <w:rFonts w:hint="eastAsia" w:ascii="仿宋_GB2312" w:eastAsia="仿宋_GB2312"/>
                <w:b/>
                <w:szCs w:val="21"/>
              </w:rPr>
              <w:t>1.评分标准：</w:t>
            </w:r>
          </w:p>
          <w:p>
            <w:pPr>
              <w:spacing w:line="380" w:lineRule="exact"/>
              <w:rPr>
                <w:rFonts w:ascii="仿宋_GB2312" w:eastAsia="仿宋_GB2312"/>
                <w:szCs w:val="21"/>
              </w:rPr>
            </w:pPr>
            <w:r>
              <w:rPr>
                <w:rFonts w:hint="eastAsia" w:ascii="仿宋_GB2312" w:eastAsia="仿宋_GB2312"/>
                <w:szCs w:val="21"/>
              </w:rPr>
              <w:t>一档：每个有效发明专利、知识产权得20</w:t>
            </w:r>
            <w:r>
              <w:rPr>
                <w:rFonts w:hint="eastAsia" w:ascii="仿宋_GB2312" w:eastAsia="仿宋_GB2312"/>
              </w:rPr>
              <w:t>%</w:t>
            </w:r>
            <w:r>
              <w:rPr>
                <w:rFonts w:hint="eastAsia" w:ascii="仿宋_GB2312" w:eastAsia="仿宋_GB2312"/>
                <w:szCs w:val="21"/>
              </w:rPr>
              <w:t>；</w:t>
            </w:r>
          </w:p>
          <w:p>
            <w:pPr>
              <w:spacing w:line="380" w:lineRule="exact"/>
              <w:rPr>
                <w:rFonts w:ascii="仿宋_GB2312" w:eastAsia="仿宋_GB2312"/>
                <w:szCs w:val="21"/>
              </w:rPr>
            </w:pPr>
            <w:r>
              <w:rPr>
                <w:rFonts w:hint="eastAsia" w:ascii="仿宋_GB2312" w:eastAsia="仿宋_GB2312"/>
                <w:szCs w:val="21"/>
              </w:rPr>
              <w:t>二档：投标人通过质量管理体系，职业健康安全管 理体系及环境管理体系认证的，每个认证体系得15</w:t>
            </w:r>
            <w:r>
              <w:rPr>
                <w:rFonts w:hint="eastAsia" w:ascii="仿宋_GB2312" w:eastAsia="仿宋_GB2312"/>
              </w:rPr>
              <w:t>%</w:t>
            </w:r>
            <w:r>
              <w:rPr>
                <w:rFonts w:hint="eastAsia" w:ascii="仿宋_GB2312" w:eastAsia="仿宋_GB2312"/>
                <w:szCs w:val="21"/>
              </w:rPr>
              <w:t>；</w:t>
            </w:r>
          </w:p>
          <w:p>
            <w:pPr>
              <w:spacing w:line="380" w:lineRule="exact"/>
              <w:rPr>
                <w:rFonts w:ascii="仿宋_GB2312" w:eastAsia="仿宋_GB2312"/>
                <w:szCs w:val="21"/>
              </w:rPr>
            </w:pPr>
            <w:r>
              <w:rPr>
                <w:rFonts w:hint="eastAsia" w:ascii="仿宋_GB2312" w:eastAsia="仿宋_GB2312"/>
                <w:szCs w:val="21"/>
              </w:rPr>
              <w:t>（多档累计得分，总分不超过100分）</w:t>
            </w:r>
          </w:p>
          <w:p>
            <w:pPr>
              <w:spacing w:line="380" w:lineRule="exact"/>
              <w:rPr>
                <w:rFonts w:ascii="仿宋_GB2312" w:eastAsia="仿宋_GB2312"/>
                <w:b/>
                <w:szCs w:val="21"/>
              </w:rPr>
            </w:pPr>
            <w:r>
              <w:rPr>
                <w:rFonts w:hint="eastAsia" w:ascii="仿宋_GB2312" w:eastAsia="仿宋_GB2312"/>
                <w:b/>
                <w:szCs w:val="21"/>
              </w:rPr>
              <w:t>2.证明文件：</w:t>
            </w:r>
          </w:p>
          <w:p>
            <w:pPr>
              <w:spacing w:line="380" w:lineRule="exact"/>
              <w:rPr>
                <w:rFonts w:ascii="仿宋_GB2312" w:eastAsia="仿宋_GB2312"/>
                <w:b/>
                <w:szCs w:val="21"/>
              </w:rPr>
            </w:pPr>
            <w:r>
              <w:rPr>
                <w:rFonts w:hint="eastAsia" w:ascii="仿宋_GB2312" w:eastAsia="仿宋_GB2312"/>
                <w:szCs w:val="21"/>
                <w:highlight w:val="yellow"/>
              </w:rPr>
              <w:t>须提供</w:t>
            </w:r>
            <w:r>
              <w:rPr>
                <w:rFonts w:hint="eastAsia" w:ascii="仿宋_GB2312" w:eastAsia="仿宋_GB2312"/>
                <w:szCs w:val="21"/>
              </w:rPr>
              <w:t>上述证书或体系认证复印件加盖投标人公章，本项目招标公告发布之日后获得的证书不得分，提供的证明文件不清晰导致专家无法判断的，不得分。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804" w:hRule="atLeast"/>
        </w:trPr>
        <w:tc>
          <w:tcPr>
            <w:tcW w:w="679" w:type="dxa"/>
          </w:tcPr>
          <w:p>
            <w:pPr>
              <w:rPr>
                <w:sz w:val="2"/>
                <w:szCs w:val="2"/>
              </w:rPr>
            </w:pPr>
          </w:p>
        </w:tc>
        <w:tc>
          <w:tcPr>
            <w:tcW w:w="1369" w:type="dxa"/>
            <w:vAlign w:val="center"/>
          </w:tcPr>
          <w:p>
            <w:pPr>
              <w:spacing w:line="380" w:lineRule="exact"/>
              <w:jc w:val="center"/>
              <w:rPr>
                <w:rFonts w:ascii="仿宋_GB2312" w:eastAsia="仿宋_GB2312"/>
                <w:b/>
                <w:sz w:val="28"/>
                <w:szCs w:val="28"/>
              </w:rPr>
            </w:pPr>
            <w:r>
              <w:rPr>
                <w:rFonts w:hint="eastAsia" w:ascii="仿宋_GB2312" w:eastAsia="仿宋_GB2312"/>
                <w:b/>
                <w:sz w:val="28"/>
                <w:szCs w:val="28"/>
              </w:rPr>
              <w:t>8</w:t>
            </w:r>
          </w:p>
        </w:tc>
        <w:tc>
          <w:tcPr>
            <w:tcW w:w="1369" w:type="dxa"/>
            <w:vAlign w:val="center"/>
          </w:tcPr>
          <w:p>
            <w:pPr>
              <w:spacing w:line="380" w:lineRule="exact"/>
              <w:jc w:val="center"/>
              <w:rPr>
                <w:rFonts w:ascii="仿宋_GB2312" w:eastAsia="仿宋_GB2312"/>
                <w:b/>
                <w:sz w:val="28"/>
                <w:szCs w:val="28"/>
              </w:rPr>
            </w:pPr>
            <w:r>
              <w:rPr>
                <w:rFonts w:hint="eastAsia" w:ascii="仿宋_GB2312" w:eastAsia="仿宋_GB2312"/>
                <w:b/>
                <w:sz w:val="28"/>
                <w:szCs w:val="28"/>
              </w:rPr>
              <w:t>人才指标</w:t>
            </w:r>
          </w:p>
        </w:tc>
        <w:tc>
          <w:tcPr>
            <w:tcW w:w="1369" w:type="dxa"/>
            <w:vAlign w:val="center"/>
          </w:tcPr>
          <w:p>
            <w:pPr>
              <w:spacing w:line="380" w:lineRule="exact"/>
              <w:jc w:val="center"/>
              <w:rPr>
                <w:rFonts w:ascii="仿宋_GB2312" w:eastAsia="仿宋_GB2312"/>
                <w:sz w:val="28"/>
                <w:szCs w:val="28"/>
              </w:rPr>
            </w:pPr>
            <w:r>
              <w:rPr>
                <w:rFonts w:hint="eastAsia" w:ascii="仿宋_GB2312" w:eastAsia="仿宋_GB2312"/>
                <w:sz w:val="28"/>
                <w:szCs w:val="28"/>
              </w:rPr>
              <w:t>3.5分</w:t>
            </w:r>
          </w:p>
        </w:tc>
        <w:tc>
          <w:tcPr>
            <w:tcW w:w="4722" w:type="dxa"/>
          </w:tcPr>
          <w:p>
            <w:pPr>
              <w:spacing w:line="380" w:lineRule="exact"/>
              <w:rPr>
                <w:rFonts w:ascii="仿宋_GB2312" w:eastAsia="仿宋_GB2312"/>
                <w:b/>
                <w:szCs w:val="21"/>
              </w:rPr>
            </w:pPr>
            <w:r>
              <w:rPr>
                <w:rFonts w:hint="eastAsia" w:ascii="仿宋_GB2312" w:eastAsia="仿宋_GB2312"/>
                <w:b/>
                <w:szCs w:val="21"/>
              </w:rPr>
              <w:t>1.评分标准：</w:t>
            </w:r>
          </w:p>
          <w:p>
            <w:pPr>
              <w:spacing w:line="380" w:lineRule="exact"/>
              <w:rPr>
                <w:rFonts w:ascii="仿宋_GB2312" w:eastAsia="仿宋_GB2312"/>
                <w:szCs w:val="21"/>
              </w:rPr>
            </w:pPr>
            <w:r>
              <w:rPr>
                <w:rFonts w:hint="eastAsia" w:ascii="仿宋_GB2312" w:eastAsia="仿宋_GB2312"/>
                <w:szCs w:val="21"/>
              </w:rPr>
              <w:t>一档：每个博士人才或高级职称证书得20</w:t>
            </w:r>
            <w:r>
              <w:rPr>
                <w:rFonts w:hint="eastAsia" w:ascii="仿宋_GB2312" w:eastAsia="仿宋_GB2312"/>
              </w:rPr>
              <w:t>%</w:t>
            </w:r>
          </w:p>
          <w:p>
            <w:pPr>
              <w:spacing w:line="380" w:lineRule="exact"/>
              <w:rPr>
                <w:rFonts w:ascii="仿宋_GB2312" w:eastAsia="仿宋_GB2312"/>
                <w:szCs w:val="21"/>
              </w:rPr>
            </w:pPr>
            <w:r>
              <w:rPr>
                <w:rFonts w:hint="eastAsia" w:ascii="仿宋_GB2312" w:eastAsia="仿宋_GB2312"/>
                <w:szCs w:val="21"/>
              </w:rPr>
              <w:t>二档：每个硕士人才或副高级职称证书得15</w:t>
            </w:r>
            <w:r>
              <w:rPr>
                <w:rFonts w:hint="eastAsia" w:ascii="仿宋_GB2312" w:eastAsia="仿宋_GB2312"/>
              </w:rPr>
              <w:t>%</w:t>
            </w:r>
            <w:r>
              <w:rPr>
                <w:rFonts w:hint="eastAsia" w:ascii="仿宋_GB2312" w:eastAsia="仿宋_GB2312"/>
                <w:szCs w:val="21"/>
              </w:rPr>
              <w:t>；</w:t>
            </w:r>
          </w:p>
          <w:p>
            <w:pPr>
              <w:spacing w:line="380" w:lineRule="exact"/>
              <w:rPr>
                <w:rFonts w:ascii="仿宋_GB2312" w:eastAsia="仿宋_GB2312"/>
                <w:szCs w:val="21"/>
              </w:rPr>
            </w:pPr>
            <w:r>
              <w:rPr>
                <w:rFonts w:hint="eastAsia" w:ascii="仿宋_GB2312" w:eastAsia="仿宋_GB2312"/>
                <w:szCs w:val="21"/>
              </w:rPr>
              <w:t>三档：每个本科人才或中级职称证书得10</w:t>
            </w:r>
            <w:r>
              <w:rPr>
                <w:rFonts w:hint="eastAsia" w:ascii="仿宋_GB2312" w:eastAsia="仿宋_GB2312"/>
              </w:rPr>
              <w:t>%</w:t>
            </w:r>
            <w:r>
              <w:rPr>
                <w:rFonts w:hint="eastAsia" w:ascii="仿宋_GB2312" w:eastAsia="仿宋_GB2312"/>
                <w:szCs w:val="21"/>
              </w:rPr>
              <w:t>；</w:t>
            </w:r>
          </w:p>
          <w:p>
            <w:pPr>
              <w:spacing w:line="380" w:lineRule="exact"/>
              <w:rPr>
                <w:rFonts w:ascii="仿宋_GB2312" w:eastAsia="仿宋_GB2312"/>
                <w:szCs w:val="21"/>
              </w:rPr>
            </w:pPr>
            <w:r>
              <w:rPr>
                <w:rFonts w:hint="eastAsia" w:ascii="仿宋_GB2312" w:eastAsia="仿宋_GB2312"/>
                <w:szCs w:val="21"/>
              </w:rPr>
              <w:t>四档：每个大专人才或初级职称证书得5</w:t>
            </w:r>
            <w:r>
              <w:rPr>
                <w:rFonts w:hint="eastAsia" w:ascii="仿宋_GB2312" w:eastAsia="仿宋_GB2312"/>
              </w:rPr>
              <w:t>%</w:t>
            </w:r>
            <w:r>
              <w:rPr>
                <w:rFonts w:hint="eastAsia" w:ascii="仿宋_GB2312" w:eastAsia="仿宋_GB2312"/>
                <w:szCs w:val="21"/>
              </w:rPr>
              <w:t>。</w:t>
            </w:r>
          </w:p>
          <w:p>
            <w:pPr>
              <w:spacing w:line="380" w:lineRule="exact"/>
              <w:rPr>
                <w:rFonts w:ascii="仿宋_GB2312" w:eastAsia="仿宋_GB2312"/>
                <w:szCs w:val="21"/>
              </w:rPr>
            </w:pPr>
            <w:r>
              <w:rPr>
                <w:rFonts w:hint="eastAsia" w:ascii="仿宋_GB2312" w:eastAsia="仿宋_GB2312"/>
                <w:szCs w:val="21"/>
              </w:rPr>
              <w:t>（多档累计得分，总分不超过100分）</w:t>
            </w:r>
          </w:p>
          <w:p>
            <w:pPr>
              <w:spacing w:line="380" w:lineRule="exact"/>
              <w:rPr>
                <w:rFonts w:ascii="仿宋_GB2312" w:eastAsia="仿宋_GB2312"/>
                <w:b/>
                <w:szCs w:val="21"/>
              </w:rPr>
            </w:pPr>
            <w:bookmarkStart w:id="4" w:name="_Hlk34309237"/>
            <w:r>
              <w:rPr>
                <w:rFonts w:hint="eastAsia" w:ascii="仿宋_GB2312" w:eastAsia="仿宋_GB2312"/>
                <w:b/>
                <w:szCs w:val="21"/>
              </w:rPr>
              <w:t>2.证明文件：</w:t>
            </w:r>
          </w:p>
          <w:p>
            <w:pPr>
              <w:spacing w:line="380" w:lineRule="exact"/>
              <w:rPr>
                <w:rFonts w:ascii="仿宋_GB2312" w:eastAsia="仿宋_GB2312"/>
                <w:szCs w:val="21"/>
              </w:rPr>
            </w:pPr>
            <w:r>
              <w:rPr>
                <w:rFonts w:hint="eastAsia" w:ascii="仿宋_GB2312" w:eastAsia="仿宋_GB2312"/>
                <w:szCs w:val="21"/>
              </w:rPr>
              <w:t>须提供以下资料：</w:t>
            </w:r>
          </w:p>
          <w:p>
            <w:pPr>
              <w:spacing w:line="380" w:lineRule="exact"/>
              <w:rPr>
                <w:rFonts w:ascii="仿宋_GB2312" w:eastAsia="仿宋_GB2312"/>
                <w:szCs w:val="21"/>
              </w:rPr>
            </w:pPr>
            <w:r>
              <w:rPr>
                <w:rFonts w:hint="eastAsia" w:ascii="仿宋_GB2312" w:eastAsia="仿宋_GB2312"/>
                <w:szCs w:val="21"/>
              </w:rPr>
              <w:t>（1）人员学历或职称证书；</w:t>
            </w:r>
          </w:p>
          <w:p>
            <w:pPr>
              <w:spacing w:line="380" w:lineRule="exact"/>
              <w:rPr>
                <w:rFonts w:ascii="仿宋_GB2312" w:eastAsia="仿宋_GB2312"/>
                <w:szCs w:val="21"/>
              </w:rPr>
            </w:pPr>
            <w:r>
              <w:rPr>
                <w:rFonts w:hint="eastAsia" w:ascii="仿宋_GB2312" w:eastAsia="仿宋_GB2312"/>
                <w:szCs w:val="21"/>
              </w:rPr>
              <w:t>（2）劳动合同；</w:t>
            </w:r>
          </w:p>
          <w:p>
            <w:pPr>
              <w:spacing w:line="380" w:lineRule="exact"/>
              <w:rPr>
                <w:rFonts w:ascii="仿宋_GB2312" w:eastAsia="仿宋_GB2312"/>
                <w:szCs w:val="21"/>
              </w:rPr>
            </w:pPr>
            <w:r>
              <w:rPr>
                <w:rFonts w:hint="eastAsia" w:ascii="仿宋_GB2312" w:eastAsia="仿宋_GB2312"/>
                <w:szCs w:val="21"/>
              </w:rPr>
              <w:t>（3）2019年12月-2020年2月社保证明材料复印件加盖投标人公章。</w:t>
            </w:r>
          </w:p>
          <w:p>
            <w:pPr>
              <w:spacing w:line="380" w:lineRule="exact"/>
              <w:rPr>
                <w:rFonts w:ascii="仿宋_GB2312" w:eastAsia="仿宋_GB2312"/>
                <w:szCs w:val="21"/>
              </w:rPr>
            </w:pPr>
            <w:r>
              <w:rPr>
                <w:rFonts w:hint="eastAsia" w:ascii="仿宋_GB2312" w:eastAsia="仿宋_GB2312"/>
                <w:szCs w:val="21"/>
              </w:rPr>
              <w:t>提供的证明文件缺少其中一项，或不清晰导致专家无法判断的，不得分。</w:t>
            </w:r>
            <w:bookmarkEnd w:id="4"/>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804" w:hRule="atLeast"/>
        </w:trPr>
        <w:tc>
          <w:tcPr>
            <w:tcW w:w="679" w:type="dxa"/>
          </w:tcPr>
          <w:p>
            <w:pPr>
              <w:rPr>
                <w:sz w:val="2"/>
                <w:szCs w:val="2"/>
              </w:rPr>
            </w:pPr>
          </w:p>
        </w:tc>
        <w:tc>
          <w:tcPr>
            <w:tcW w:w="1369" w:type="dxa"/>
            <w:vAlign w:val="center"/>
          </w:tcPr>
          <w:p>
            <w:pPr>
              <w:spacing w:line="380" w:lineRule="exact"/>
              <w:jc w:val="center"/>
              <w:rPr>
                <w:rFonts w:ascii="仿宋_GB2312" w:eastAsia="仿宋_GB2312"/>
                <w:b/>
                <w:sz w:val="28"/>
                <w:szCs w:val="28"/>
              </w:rPr>
            </w:pPr>
            <w:r>
              <w:rPr>
                <w:rFonts w:hint="eastAsia" w:ascii="仿宋_GB2312" w:eastAsia="仿宋_GB2312"/>
                <w:b/>
                <w:sz w:val="28"/>
                <w:szCs w:val="28"/>
              </w:rPr>
              <w:t>9</w:t>
            </w:r>
          </w:p>
        </w:tc>
        <w:tc>
          <w:tcPr>
            <w:tcW w:w="1369" w:type="dxa"/>
            <w:vAlign w:val="center"/>
          </w:tcPr>
          <w:p>
            <w:pPr>
              <w:spacing w:line="380" w:lineRule="exact"/>
              <w:jc w:val="center"/>
              <w:rPr>
                <w:rFonts w:ascii="仿宋_GB2312" w:eastAsia="仿宋_GB2312"/>
                <w:b/>
                <w:sz w:val="28"/>
                <w:szCs w:val="28"/>
              </w:rPr>
            </w:pPr>
            <w:r>
              <w:rPr>
                <w:rFonts w:hint="eastAsia" w:ascii="仿宋_GB2312" w:eastAsia="仿宋_GB2312"/>
                <w:b/>
                <w:sz w:val="28"/>
                <w:szCs w:val="28"/>
              </w:rPr>
              <w:t>企业管理</w:t>
            </w:r>
          </w:p>
        </w:tc>
        <w:tc>
          <w:tcPr>
            <w:tcW w:w="1369" w:type="dxa"/>
            <w:vAlign w:val="center"/>
          </w:tcPr>
          <w:p>
            <w:pPr>
              <w:spacing w:line="380" w:lineRule="exact"/>
              <w:jc w:val="center"/>
              <w:rPr>
                <w:rFonts w:ascii="仿宋_GB2312" w:eastAsia="仿宋_GB2312"/>
                <w:sz w:val="28"/>
                <w:szCs w:val="28"/>
              </w:rPr>
            </w:pPr>
            <w:r>
              <w:rPr>
                <w:rFonts w:hint="eastAsia" w:ascii="仿宋_GB2312" w:eastAsia="仿宋_GB2312"/>
                <w:sz w:val="28"/>
                <w:szCs w:val="28"/>
              </w:rPr>
              <w:t>3.5分</w:t>
            </w:r>
          </w:p>
        </w:tc>
        <w:tc>
          <w:tcPr>
            <w:tcW w:w="4722" w:type="dxa"/>
          </w:tcPr>
          <w:p>
            <w:pPr>
              <w:spacing w:line="380" w:lineRule="exact"/>
              <w:rPr>
                <w:rFonts w:ascii="仿宋_GB2312" w:eastAsia="仿宋_GB2312"/>
                <w:b/>
                <w:szCs w:val="21"/>
              </w:rPr>
            </w:pPr>
            <w:r>
              <w:rPr>
                <w:rFonts w:hint="eastAsia" w:ascii="仿宋_GB2312" w:eastAsia="仿宋_GB2312"/>
                <w:b/>
                <w:szCs w:val="21"/>
              </w:rPr>
              <w:t>1.评分标准：</w:t>
            </w:r>
          </w:p>
          <w:p>
            <w:pPr>
              <w:spacing w:line="380" w:lineRule="exact"/>
              <w:rPr>
                <w:rFonts w:ascii="仿宋_GB2312" w:eastAsia="仿宋_GB2312"/>
                <w:szCs w:val="21"/>
              </w:rPr>
            </w:pPr>
            <w:r>
              <w:rPr>
                <w:rFonts w:hint="eastAsia" w:ascii="仿宋_GB2312" w:eastAsia="仿宋_GB2312"/>
                <w:szCs w:val="21"/>
              </w:rPr>
              <w:t>专家评委根据企业的安全经营保障措施、环境保护措施、消防保障措施、应急情况处 理方案、与周边关系协调方案、企业管理方案及内控制度等情况进行横向比较打分:</w:t>
            </w:r>
          </w:p>
          <w:p>
            <w:pPr>
              <w:spacing w:line="380" w:lineRule="exact"/>
              <w:rPr>
                <w:rFonts w:ascii="仿宋_GB2312" w:eastAsia="仿宋_GB2312"/>
                <w:szCs w:val="21"/>
              </w:rPr>
            </w:pPr>
            <w:r>
              <w:rPr>
                <w:rFonts w:hint="eastAsia" w:ascii="仿宋_GB2312" w:eastAsia="仿宋_GB2312"/>
                <w:szCs w:val="21"/>
              </w:rPr>
              <w:t>优，得85-100 %；良，得75-84%；中，得50-74%；差，不得分。专家评分为差，须提供相关原因说明。</w:t>
            </w:r>
          </w:p>
          <w:p>
            <w:pPr>
              <w:spacing w:line="380" w:lineRule="exact"/>
              <w:rPr>
                <w:rFonts w:ascii="仿宋_GB2312" w:eastAsia="仿宋_GB2312"/>
                <w:b/>
                <w:szCs w:val="21"/>
              </w:rPr>
            </w:pPr>
            <w:r>
              <w:rPr>
                <w:rFonts w:hint="eastAsia" w:ascii="仿宋_GB2312" w:eastAsia="仿宋_GB2312"/>
                <w:b/>
                <w:szCs w:val="21"/>
              </w:rPr>
              <w:t>2.证明文件：</w:t>
            </w:r>
          </w:p>
          <w:p>
            <w:pPr>
              <w:spacing w:line="380" w:lineRule="exact"/>
              <w:rPr>
                <w:rFonts w:ascii="仿宋_GB2312" w:eastAsia="仿宋_GB2312"/>
                <w:szCs w:val="21"/>
              </w:rPr>
            </w:pPr>
            <w:r>
              <w:rPr>
                <w:rFonts w:hint="eastAsia" w:ascii="仿宋_GB2312" w:eastAsia="仿宋_GB2312"/>
                <w:szCs w:val="21"/>
              </w:rPr>
              <w:t>投标人须提供详细的、完整的措施、方案、制度等内容，未提供材料的不得分。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804" w:hRule="atLeast"/>
        </w:trPr>
        <w:tc>
          <w:tcPr>
            <w:tcW w:w="679" w:type="dxa"/>
          </w:tcPr>
          <w:p>
            <w:pPr>
              <w:rPr>
                <w:sz w:val="2"/>
                <w:szCs w:val="2"/>
              </w:rPr>
            </w:pPr>
          </w:p>
        </w:tc>
        <w:tc>
          <w:tcPr>
            <w:tcW w:w="1369" w:type="dxa"/>
            <w:vAlign w:val="center"/>
          </w:tcPr>
          <w:p>
            <w:pPr>
              <w:spacing w:line="380" w:lineRule="exact"/>
              <w:jc w:val="center"/>
              <w:rPr>
                <w:rFonts w:ascii="仿宋_GB2312" w:eastAsia="仿宋_GB2312"/>
                <w:b/>
                <w:sz w:val="28"/>
                <w:szCs w:val="28"/>
              </w:rPr>
            </w:pPr>
            <w:r>
              <w:rPr>
                <w:rFonts w:hint="eastAsia" w:ascii="仿宋_GB2312" w:eastAsia="仿宋_GB2312"/>
                <w:b/>
                <w:sz w:val="28"/>
                <w:szCs w:val="28"/>
              </w:rPr>
              <w:t>10</w:t>
            </w:r>
          </w:p>
        </w:tc>
        <w:tc>
          <w:tcPr>
            <w:tcW w:w="1369" w:type="dxa"/>
            <w:vAlign w:val="center"/>
          </w:tcPr>
          <w:p>
            <w:pPr>
              <w:spacing w:line="380" w:lineRule="exact"/>
              <w:jc w:val="center"/>
              <w:rPr>
                <w:rFonts w:ascii="微软雅黑" w:hAnsi="微软雅黑" w:eastAsia="微软雅黑"/>
                <w:b/>
                <w:sz w:val="28"/>
                <w:szCs w:val="28"/>
              </w:rPr>
            </w:pPr>
            <w:r>
              <w:rPr>
                <w:rFonts w:hint="eastAsia" w:ascii="仿宋_GB2312" w:eastAsia="仿宋_GB2312"/>
                <w:b/>
                <w:sz w:val="28"/>
                <w:szCs w:val="28"/>
              </w:rPr>
              <w:t>企业注册资本</w:t>
            </w:r>
          </w:p>
        </w:tc>
        <w:tc>
          <w:tcPr>
            <w:tcW w:w="1369" w:type="dxa"/>
            <w:vAlign w:val="center"/>
          </w:tcPr>
          <w:p>
            <w:pPr>
              <w:spacing w:line="380" w:lineRule="exact"/>
              <w:jc w:val="center"/>
              <w:rPr>
                <w:rFonts w:ascii="仿宋_GB2312" w:eastAsia="仿宋_GB2312"/>
                <w:sz w:val="28"/>
                <w:szCs w:val="28"/>
              </w:rPr>
            </w:pPr>
            <w:r>
              <w:rPr>
                <w:rFonts w:hint="eastAsia" w:ascii="仿宋_GB2312" w:eastAsia="仿宋_GB2312"/>
                <w:sz w:val="28"/>
                <w:szCs w:val="28"/>
              </w:rPr>
              <w:t>7分</w:t>
            </w:r>
          </w:p>
        </w:tc>
        <w:tc>
          <w:tcPr>
            <w:tcW w:w="4722" w:type="dxa"/>
          </w:tcPr>
          <w:p>
            <w:pPr>
              <w:pStyle w:val="18"/>
              <w:numPr>
                <w:ilvl w:val="0"/>
                <w:numId w:val="1"/>
              </w:numPr>
              <w:spacing w:line="380" w:lineRule="exact"/>
              <w:rPr>
                <w:rFonts w:ascii="仿宋_GB2312" w:eastAsia="仿宋_GB2312"/>
                <w:b/>
                <w:szCs w:val="21"/>
              </w:rPr>
            </w:pPr>
            <w:r>
              <w:rPr>
                <w:rFonts w:hint="eastAsia" w:ascii="仿宋_GB2312" w:eastAsia="仿宋_GB2312"/>
                <w:b/>
                <w:szCs w:val="21"/>
              </w:rPr>
              <w:t>评分标准：</w:t>
            </w:r>
          </w:p>
          <w:p>
            <w:pPr>
              <w:rPr>
                <w:rFonts w:asciiTheme="minorEastAsia" w:hAnsiTheme="minorEastAsia"/>
                <w:bCs/>
              </w:rPr>
            </w:pPr>
            <w:r>
              <w:rPr>
                <w:rFonts w:hint="eastAsia" w:asciiTheme="minorEastAsia" w:hAnsiTheme="minorEastAsia"/>
                <w:bCs/>
              </w:rPr>
              <w:t>200万元以下的得1分；</w:t>
            </w:r>
          </w:p>
          <w:p>
            <w:pPr>
              <w:rPr>
                <w:rFonts w:asciiTheme="minorEastAsia" w:hAnsiTheme="minorEastAsia"/>
                <w:bCs/>
              </w:rPr>
            </w:pPr>
            <w:r>
              <w:rPr>
                <w:rFonts w:hint="eastAsia" w:asciiTheme="minorEastAsia" w:hAnsiTheme="minorEastAsia"/>
                <w:bCs/>
              </w:rPr>
              <w:t>200万元（含）至350万元得3分；</w:t>
            </w:r>
          </w:p>
          <w:p>
            <w:pPr>
              <w:rPr>
                <w:rFonts w:asciiTheme="minorEastAsia" w:hAnsiTheme="minorEastAsia"/>
                <w:bCs/>
              </w:rPr>
            </w:pPr>
            <w:r>
              <w:rPr>
                <w:rFonts w:hint="eastAsia" w:asciiTheme="minorEastAsia" w:hAnsiTheme="minorEastAsia"/>
                <w:bCs/>
              </w:rPr>
              <w:t>350万元（含）至500万元得5分；</w:t>
            </w:r>
          </w:p>
          <w:p>
            <w:pPr>
              <w:rPr>
                <w:rFonts w:ascii="仿宋_GB2312" w:eastAsia="仿宋_GB2312"/>
                <w:b/>
                <w:lang w:val="en-US"/>
              </w:rPr>
            </w:pPr>
            <w:r>
              <w:rPr>
                <w:rFonts w:hint="eastAsia" w:asciiTheme="minorEastAsia" w:hAnsiTheme="minorEastAsia"/>
                <w:bCs/>
              </w:rPr>
              <w:t>500万元（含）以上得7分</w:t>
            </w:r>
            <w:r>
              <w:rPr>
                <w:rFonts w:hint="eastAsia"/>
                <w:lang w:val="en-US"/>
              </w:rPr>
              <w:t>。</w:t>
            </w:r>
          </w:p>
          <w:p>
            <w:pPr>
              <w:spacing w:line="380" w:lineRule="exact"/>
              <w:rPr>
                <w:rFonts w:ascii="仿宋_GB2312" w:eastAsia="仿宋_GB2312"/>
                <w:b/>
                <w:szCs w:val="21"/>
              </w:rPr>
            </w:pPr>
            <w:r>
              <w:rPr>
                <w:rFonts w:hint="eastAsia" w:ascii="仿宋_GB2312" w:eastAsia="仿宋_GB2312"/>
                <w:b/>
                <w:szCs w:val="21"/>
              </w:rPr>
              <w:t>2.证明文件：</w:t>
            </w:r>
          </w:p>
          <w:p>
            <w:pPr>
              <w:rPr>
                <w:rFonts w:ascii="仿宋_GB2312" w:eastAsia="仿宋_GB2312"/>
                <w:b/>
                <w:szCs w:val="21"/>
              </w:rPr>
            </w:pPr>
            <w:r>
              <w:rPr>
                <w:rFonts w:hint="eastAsia"/>
                <w:lang w:val="en-US"/>
              </w:rPr>
              <w:t>投标人须提供市场监督管理局（商事主体登记及备案信息查询）基本信息网站截图加盖投标人公章，未提供或提供的证明文件不清晰导致专家无法判断的，不得分。</w:t>
            </w:r>
          </w:p>
        </w:tc>
      </w:tr>
    </w:tbl>
    <w:p>
      <w:pPr>
        <w:pStyle w:val="9"/>
        <w:spacing w:before="4"/>
        <w:rPr>
          <w:b/>
          <w:sz w:val="17"/>
        </w:rPr>
      </w:pPr>
    </w:p>
    <w:p>
      <w:pPr>
        <w:tabs>
          <w:tab w:val="left" w:pos="1103"/>
        </w:tabs>
        <w:spacing w:before="38"/>
        <w:ind w:right="379"/>
        <w:jc w:val="center"/>
        <w:rPr>
          <w:b/>
          <w:sz w:val="44"/>
        </w:rPr>
      </w:pPr>
      <w:bookmarkStart w:id="5" w:name="目___录"/>
      <w:bookmarkEnd w:id="5"/>
    </w:p>
    <w:p>
      <w:pPr>
        <w:tabs>
          <w:tab w:val="left" w:pos="1103"/>
        </w:tabs>
        <w:spacing w:before="38"/>
        <w:ind w:right="379"/>
        <w:jc w:val="center"/>
        <w:rPr>
          <w:b/>
          <w:sz w:val="44"/>
        </w:rPr>
      </w:pPr>
    </w:p>
    <w:p>
      <w:pPr>
        <w:tabs>
          <w:tab w:val="left" w:pos="1103"/>
        </w:tabs>
        <w:spacing w:before="38"/>
        <w:ind w:right="379"/>
        <w:jc w:val="center"/>
        <w:rPr>
          <w:b/>
          <w:sz w:val="44"/>
        </w:rPr>
      </w:pPr>
    </w:p>
    <w:p>
      <w:pPr>
        <w:tabs>
          <w:tab w:val="left" w:pos="1103"/>
        </w:tabs>
        <w:spacing w:before="38"/>
        <w:ind w:right="379"/>
        <w:jc w:val="center"/>
        <w:rPr>
          <w:b/>
          <w:sz w:val="44"/>
        </w:rPr>
      </w:pPr>
    </w:p>
    <w:p>
      <w:pPr>
        <w:tabs>
          <w:tab w:val="left" w:pos="1103"/>
        </w:tabs>
        <w:spacing w:before="38"/>
        <w:ind w:right="379"/>
        <w:jc w:val="center"/>
        <w:rPr>
          <w:b/>
          <w:sz w:val="44"/>
        </w:rPr>
      </w:pPr>
    </w:p>
    <w:p>
      <w:pPr>
        <w:tabs>
          <w:tab w:val="left" w:pos="1103"/>
        </w:tabs>
        <w:spacing w:before="38"/>
        <w:ind w:right="379"/>
        <w:jc w:val="center"/>
        <w:rPr>
          <w:b/>
          <w:sz w:val="44"/>
        </w:rPr>
      </w:pPr>
    </w:p>
    <w:p>
      <w:pPr>
        <w:tabs>
          <w:tab w:val="left" w:pos="1103"/>
        </w:tabs>
        <w:spacing w:before="38"/>
        <w:ind w:right="379"/>
        <w:jc w:val="center"/>
        <w:rPr>
          <w:b/>
          <w:sz w:val="44"/>
        </w:rPr>
      </w:pPr>
    </w:p>
    <w:p>
      <w:pPr>
        <w:tabs>
          <w:tab w:val="left" w:pos="1103"/>
        </w:tabs>
        <w:spacing w:before="38"/>
        <w:ind w:right="379"/>
        <w:jc w:val="center"/>
        <w:rPr>
          <w:b/>
          <w:sz w:val="44"/>
        </w:rPr>
      </w:pPr>
    </w:p>
    <w:p>
      <w:pPr>
        <w:tabs>
          <w:tab w:val="left" w:pos="1103"/>
        </w:tabs>
        <w:spacing w:before="38"/>
        <w:ind w:right="379"/>
        <w:jc w:val="center"/>
        <w:rPr>
          <w:b/>
          <w:sz w:val="44"/>
        </w:rPr>
      </w:pPr>
    </w:p>
    <w:p>
      <w:pPr>
        <w:tabs>
          <w:tab w:val="left" w:pos="1103"/>
        </w:tabs>
        <w:spacing w:before="38"/>
        <w:ind w:right="379"/>
        <w:jc w:val="center"/>
        <w:rPr>
          <w:b/>
          <w:sz w:val="44"/>
        </w:rPr>
      </w:pPr>
    </w:p>
    <w:p>
      <w:pPr>
        <w:tabs>
          <w:tab w:val="left" w:pos="1103"/>
        </w:tabs>
        <w:spacing w:before="38"/>
        <w:ind w:right="379"/>
        <w:jc w:val="center"/>
        <w:rPr>
          <w:b/>
          <w:sz w:val="44"/>
        </w:rPr>
      </w:pPr>
    </w:p>
    <w:p>
      <w:pPr>
        <w:tabs>
          <w:tab w:val="left" w:pos="1103"/>
        </w:tabs>
        <w:spacing w:before="38"/>
        <w:ind w:right="379"/>
        <w:jc w:val="center"/>
        <w:rPr>
          <w:b/>
          <w:sz w:val="44"/>
        </w:rPr>
      </w:pPr>
      <w:r>
        <w:rPr>
          <w:b/>
          <w:sz w:val="44"/>
        </w:rPr>
        <w:t>目</w:t>
      </w:r>
      <w:r>
        <w:rPr>
          <w:b/>
          <w:sz w:val="44"/>
        </w:rPr>
        <w:tab/>
      </w:r>
      <w:r>
        <w:rPr>
          <w:b/>
          <w:sz w:val="44"/>
        </w:rPr>
        <w:t>录</w:t>
      </w:r>
    </w:p>
    <w:p>
      <w:pPr>
        <w:pStyle w:val="9"/>
        <w:rPr>
          <w:b/>
          <w:sz w:val="20"/>
        </w:rPr>
      </w:pPr>
    </w:p>
    <w:p>
      <w:pPr>
        <w:tabs>
          <w:tab w:val="left" w:pos="1399"/>
        </w:tabs>
        <w:spacing w:before="156"/>
        <w:ind w:left="440" w:right="5730"/>
        <w:rPr>
          <w:b/>
          <w:bCs/>
          <w:sz w:val="24"/>
        </w:rPr>
      </w:pPr>
      <w:r>
        <w:rPr>
          <w:rFonts w:hint="eastAsia"/>
          <w:b/>
          <w:bCs/>
          <w:sz w:val="24"/>
        </w:rPr>
        <w:t>第一册 专用条款</w:t>
      </w:r>
    </w:p>
    <w:p>
      <w:pPr>
        <w:tabs>
          <w:tab w:val="left" w:pos="1399"/>
        </w:tabs>
        <w:spacing w:before="156"/>
        <w:ind w:left="440" w:right="6346"/>
        <w:rPr>
          <w:sz w:val="24"/>
        </w:rPr>
      </w:pPr>
      <w:r>
        <w:rPr>
          <w:rFonts w:hint="eastAsia"/>
          <w:sz w:val="24"/>
        </w:rPr>
        <w:t>第一章 招标公告</w:t>
      </w:r>
    </w:p>
    <w:p>
      <w:pPr>
        <w:tabs>
          <w:tab w:val="left" w:pos="1399"/>
        </w:tabs>
        <w:spacing w:before="156"/>
        <w:ind w:left="440" w:right="6346"/>
        <w:rPr>
          <w:sz w:val="24"/>
        </w:rPr>
      </w:pPr>
      <w:r>
        <w:rPr>
          <w:rFonts w:hint="eastAsia"/>
          <w:sz w:val="24"/>
        </w:rPr>
        <w:t>第二章 招标项目需求</w:t>
      </w:r>
    </w:p>
    <w:p>
      <w:pPr>
        <w:tabs>
          <w:tab w:val="left" w:pos="1399"/>
        </w:tabs>
        <w:spacing w:before="156"/>
        <w:ind w:left="440" w:right="6346"/>
        <w:rPr>
          <w:sz w:val="24"/>
        </w:rPr>
      </w:pPr>
      <w:r>
        <w:rPr>
          <w:rFonts w:hint="eastAsia"/>
          <w:sz w:val="24"/>
        </w:rPr>
        <w:t>第三章 投标文件格式、附件</w:t>
      </w:r>
    </w:p>
    <w:p>
      <w:pPr>
        <w:tabs>
          <w:tab w:val="left" w:pos="1399"/>
        </w:tabs>
        <w:spacing w:before="156"/>
        <w:ind w:left="440" w:right="6346"/>
        <w:rPr>
          <w:sz w:val="24"/>
        </w:rPr>
      </w:pPr>
      <w:r>
        <w:rPr>
          <w:rFonts w:hint="eastAsia"/>
          <w:sz w:val="24"/>
        </w:rPr>
        <w:t>第四章 合同条款及格式</w:t>
      </w:r>
    </w:p>
    <w:p>
      <w:pPr>
        <w:pStyle w:val="9"/>
        <w:spacing w:before="8"/>
        <w:rPr>
          <w:b/>
          <w:sz w:val="20"/>
        </w:rPr>
      </w:pPr>
    </w:p>
    <w:p>
      <w:pPr>
        <w:tabs>
          <w:tab w:val="left" w:pos="1399"/>
        </w:tabs>
        <w:spacing w:before="156"/>
        <w:ind w:left="440" w:right="6346"/>
        <w:rPr>
          <w:b/>
          <w:bCs/>
          <w:sz w:val="24"/>
        </w:rPr>
      </w:pPr>
      <w:r>
        <w:rPr>
          <w:rFonts w:hint="eastAsia"/>
          <w:b/>
          <w:bCs/>
          <w:sz w:val="24"/>
        </w:rPr>
        <w:t>第二册 投标人须知</w:t>
      </w:r>
    </w:p>
    <w:p>
      <w:pPr>
        <w:tabs>
          <w:tab w:val="left" w:pos="1399"/>
        </w:tabs>
        <w:spacing w:before="156"/>
        <w:ind w:left="440" w:right="6346"/>
        <w:rPr>
          <w:sz w:val="24"/>
        </w:rPr>
      </w:pPr>
      <w:r>
        <w:rPr>
          <w:rFonts w:hint="eastAsia"/>
          <w:sz w:val="24"/>
        </w:rPr>
        <w:t>第一章 总则</w:t>
      </w:r>
    </w:p>
    <w:p>
      <w:pPr>
        <w:tabs>
          <w:tab w:val="left" w:pos="1399"/>
        </w:tabs>
        <w:spacing w:before="156"/>
        <w:ind w:left="440" w:right="6346"/>
        <w:rPr>
          <w:sz w:val="24"/>
        </w:rPr>
      </w:pPr>
      <w:r>
        <w:rPr>
          <w:rFonts w:hint="eastAsia"/>
          <w:sz w:val="24"/>
        </w:rPr>
        <w:t>第二章 招标文件</w:t>
      </w:r>
    </w:p>
    <w:p>
      <w:pPr>
        <w:tabs>
          <w:tab w:val="left" w:pos="1399"/>
        </w:tabs>
        <w:spacing w:before="156"/>
        <w:ind w:left="440" w:right="6346"/>
        <w:rPr>
          <w:sz w:val="24"/>
        </w:rPr>
      </w:pPr>
      <w:r>
        <w:rPr>
          <w:rFonts w:hint="eastAsia"/>
          <w:sz w:val="24"/>
        </w:rPr>
        <w:t>第三章 投标文件的编制</w:t>
      </w:r>
    </w:p>
    <w:p>
      <w:pPr>
        <w:tabs>
          <w:tab w:val="left" w:pos="1399"/>
        </w:tabs>
        <w:spacing w:before="156"/>
        <w:ind w:left="440" w:right="6346"/>
        <w:rPr>
          <w:sz w:val="24"/>
        </w:rPr>
      </w:pPr>
      <w:r>
        <w:rPr>
          <w:rFonts w:hint="eastAsia"/>
          <w:sz w:val="24"/>
        </w:rPr>
        <w:t>第四章 投标文件的递交</w:t>
      </w:r>
    </w:p>
    <w:p>
      <w:pPr>
        <w:tabs>
          <w:tab w:val="left" w:pos="1399"/>
        </w:tabs>
        <w:spacing w:before="156"/>
        <w:ind w:left="440" w:right="6346"/>
        <w:rPr>
          <w:sz w:val="24"/>
        </w:rPr>
      </w:pPr>
      <w:r>
        <w:rPr>
          <w:rFonts w:hint="eastAsia"/>
          <w:sz w:val="24"/>
        </w:rPr>
        <w:t>第五章 开标</w:t>
      </w:r>
    </w:p>
    <w:p>
      <w:pPr>
        <w:tabs>
          <w:tab w:val="left" w:pos="1399"/>
        </w:tabs>
        <w:spacing w:before="156"/>
        <w:ind w:left="440" w:right="6346"/>
        <w:rPr>
          <w:sz w:val="24"/>
        </w:rPr>
      </w:pPr>
      <w:r>
        <w:rPr>
          <w:rFonts w:hint="eastAsia"/>
          <w:sz w:val="24"/>
        </w:rPr>
        <w:t>第六章 评标要求</w:t>
      </w:r>
    </w:p>
    <w:p>
      <w:pPr>
        <w:tabs>
          <w:tab w:val="left" w:pos="1399"/>
        </w:tabs>
        <w:spacing w:before="156"/>
        <w:ind w:left="440" w:right="6346"/>
        <w:rPr>
          <w:sz w:val="24"/>
        </w:rPr>
      </w:pPr>
      <w:r>
        <w:rPr>
          <w:rFonts w:hint="eastAsia"/>
          <w:sz w:val="24"/>
        </w:rPr>
        <w:t>第七章 评标程序及评标方法</w:t>
      </w:r>
    </w:p>
    <w:p>
      <w:pPr>
        <w:tabs>
          <w:tab w:val="left" w:pos="1399"/>
        </w:tabs>
        <w:spacing w:before="156"/>
        <w:ind w:left="440" w:right="6346"/>
        <w:rPr>
          <w:sz w:val="24"/>
        </w:rPr>
      </w:pPr>
      <w:r>
        <w:rPr>
          <w:rFonts w:hint="eastAsia"/>
          <w:sz w:val="24"/>
        </w:rPr>
        <w:t>第八章 定标及公示</w:t>
      </w:r>
    </w:p>
    <w:p>
      <w:pPr>
        <w:tabs>
          <w:tab w:val="left" w:pos="1399"/>
        </w:tabs>
        <w:spacing w:before="156"/>
        <w:ind w:left="440" w:right="6346"/>
        <w:rPr>
          <w:sz w:val="24"/>
        </w:rPr>
      </w:pPr>
      <w:r>
        <w:rPr>
          <w:rFonts w:hint="eastAsia"/>
          <w:sz w:val="24"/>
        </w:rPr>
        <w:t>第九章 质疑和投诉</w:t>
      </w:r>
    </w:p>
    <w:p>
      <w:pPr>
        <w:tabs>
          <w:tab w:val="left" w:pos="1399"/>
        </w:tabs>
        <w:spacing w:before="156"/>
        <w:ind w:left="440" w:right="5510"/>
        <w:rPr>
          <w:sz w:val="24"/>
        </w:rPr>
      </w:pPr>
      <w:r>
        <w:rPr>
          <w:rFonts w:hint="eastAsia"/>
          <w:sz w:val="24"/>
        </w:rPr>
        <w:t>第十章 公开招标失败的后续处理</w:t>
      </w:r>
    </w:p>
    <w:p>
      <w:pPr>
        <w:tabs>
          <w:tab w:val="left" w:pos="1399"/>
        </w:tabs>
        <w:spacing w:before="156"/>
        <w:ind w:left="440" w:right="6346"/>
        <w:rPr>
          <w:sz w:val="24"/>
        </w:rPr>
      </w:pPr>
      <w:r>
        <w:rPr>
          <w:rFonts w:hint="eastAsia"/>
          <w:sz w:val="24"/>
        </w:rPr>
        <w:t>第十一章 合同的授予</w:t>
      </w:r>
    </w:p>
    <w:p>
      <w:pPr>
        <w:pStyle w:val="3"/>
        <w:spacing w:line="470" w:lineRule="exact"/>
        <w:jc w:val="left"/>
        <w:rPr>
          <w:sz w:val="24"/>
        </w:rPr>
      </w:pPr>
      <w:r>
        <w:rPr>
          <w:rFonts w:hint="eastAsia"/>
          <w:sz w:val="24"/>
        </w:rPr>
        <w:t>第十二章 特别说明</w:t>
      </w:r>
    </w:p>
    <w:p>
      <w:pPr>
        <w:pStyle w:val="3"/>
        <w:spacing w:line="470" w:lineRule="exact"/>
        <w:jc w:val="left"/>
        <w:rPr>
          <w:sz w:val="24"/>
        </w:rPr>
      </w:pPr>
    </w:p>
    <w:p>
      <w:pPr>
        <w:pStyle w:val="3"/>
        <w:spacing w:line="470" w:lineRule="exact"/>
        <w:jc w:val="left"/>
        <w:rPr>
          <w:sz w:val="24"/>
        </w:rPr>
      </w:pPr>
    </w:p>
    <w:p>
      <w:pPr>
        <w:pStyle w:val="3"/>
        <w:spacing w:line="470" w:lineRule="exact"/>
        <w:jc w:val="left"/>
        <w:rPr>
          <w:sz w:val="24"/>
        </w:rPr>
      </w:pPr>
    </w:p>
    <w:p>
      <w:pPr>
        <w:pStyle w:val="3"/>
        <w:spacing w:line="470" w:lineRule="exact"/>
        <w:jc w:val="left"/>
        <w:rPr>
          <w:sz w:val="24"/>
        </w:rPr>
      </w:pPr>
    </w:p>
    <w:p>
      <w:pPr>
        <w:pStyle w:val="3"/>
        <w:spacing w:line="470" w:lineRule="exact"/>
        <w:jc w:val="left"/>
        <w:rPr>
          <w:sz w:val="24"/>
        </w:rPr>
      </w:pPr>
    </w:p>
    <w:p>
      <w:pPr>
        <w:pStyle w:val="3"/>
        <w:spacing w:line="470" w:lineRule="exact"/>
        <w:jc w:val="left"/>
        <w:rPr>
          <w:sz w:val="24"/>
        </w:rPr>
      </w:pPr>
    </w:p>
    <w:p>
      <w:pPr>
        <w:pStyle w:val="3"/>
        <w:spacing w:line="470" w:lineRule="exact"/>
        <w:jc w:val="left"/>
        <w:rPr>
          <w:sz w:val="24"/>
        </w:rPr>
      </w:pPr>
    </w:p>
    <w:p>
      <w:pPr>
        <w:pStyle w:val="3"/>
        <w:spacing w:line="470" w:lineRule="exact"/>
        <w:jc w:val="left"/>
        <w:rPr>
          <w:sz w:val="24"/>
        </w:rPr>
      </w:pPr>
    </w:p>
    <w:p>
      <w:pPr>
        <w:pStyle w:val="3"/>
        <w:spacing w:line="470" w:lineRule="exact"/>
        <w:jc w:val="left"/>
        <w:rPr>
          <w:sz w:val="24"/>
        </w:rPr>
      </w:pPr>
    </w:p>
    <w:p>
      <w:pPr>
        <w:pStyle w:val="3"/>
        <w:spacing w:line="470" w:lineRule="exact"/>
        <w:jc w:val="left"/>
        <w:rPr>
          <w:sz w:val="24"/>
        </w:rPr>
      </w:pPr>
    </w:p>
    <w:p>
      <w:pPr>
        <w:pStyle w:val="3"/>
        <w:spacing w:line="470" w:lineRule="exact"/>
        <w:jc w:val="left"/>
        <w:rPr>
          <w:rFonts w:ascii="方正小标宋简体" w:eastAsia="方正小标宋简体"/>
          <w:sz w:val="36"/>
          <w:szCs w:val="44"/>
        </w:rPr>
      </w:pPr>
      <w:r>
        <w:rPr>
          <w:rFonts w:hint="eastAsia" w:ascii="方正小标宋简体" w:eastAsia="方正小标宋简体"/>
          <w:sz w:val="36"/>
          <w:szCs w:val="44"/>
        </w:rPr>
        <w:t>第一册</w:t>
      </w:r>
      <w:r>
        <w:rPr>
          <w:rFonts w:hint="eastAsia" w:ascii="方正小标宋简体" w:eastAsia="方正小标宋简体"/>
          <w:sz w:val="36"/>
          <w:szCs w:val="44"/>
        </w:rPr>
        <w:tab/>
      </w:r>
      <w:r>
        <w:rPr>
          <w:rFonts w:hint="eastAsia" w:ascii="方正小标宋简体" w:eastAsia="方正小标宋简体"/>
          <w:sz w:val="36"/>
          <w:szCs w:val="44"/>
        </w:rPr>
        <w:t xml:space="preserve"> 专用条款</w:t>
      </w:r>
    </w:p>
    <w:p>
      <w:pPr>
        <w:pStyle w:val="4"/>
        <w:tabs>
          <w:tab w:val="left" w:pos="962"/>
        </w:tabs>
        <w:spacing w:before="1"/>
        <w:ind w:left="0" w:right="375"/>
        <w:jc w:val="center"/>
        <w:rPr>
          <w:rFonts w:ascii="黑体" w:hAnsi="黑体" w:eastAsia="黑体"/>
          <w:sz w:val="36"/>
          <w:szCs w:val="36"/>
        </w:rPr>
      </w:pPr>
      <w:bookmarkStart w:id="6" w:name="第一章__招标公告"/>
      <w:bookmarkEnd w:id="6"/>
      <w:r>
        <w:rPr>
          <w:rFonts w:hint="eastAsia" w:ascii="黑体" w:hAnsi="黑体" w:eastAsia="黑体"/>
          <w:sz w:val="36"/>
          <w:szCs w:val="36"/>
        </w:rPr>
        <w:t>第一章</w:t>
      </w:r>
      <w:r>
        <w:rPr>
          <w:rFonts w:hint="eastAsia" w:ascii="黑体" w:hAnsi="黑体" w:eastAsia="黑体"/>
          <w:sz w:val="36"/>
          <w:szCs w:val="36"/>
        </w:rPr>
        <w:tab/>
      </w:r>
      <w:r>
        <w:rPr>
          <w:rFonts w:hint="eastAsia" w:ascii="黑体" w:hAnsi="黑体" w:eastAsia="黑体"/>
          <w:sz w:val="36"/>
          <w:szCs w:val="36"/>
        </w:rPr>
        <w:t>招标公告</w:t>
      </w:r>
    </w:p>
    <w:p>
      <w:pPr>
        <w:pStyle w:val="9"/>
        <w:spacing w:before="9"/>
        <w:jc w:val="center"/>
        <w:rPr>
          <w:rFonts w:asciiTheme="minorEastAsia" w:hAnsiTheme="minorEastAsia" w:eastAsiaTheme="minorEastAsia"/>
          <w:b/>
          <w:sz w:val="44"/>
          <w:szCs w:val="32"/>
        </w:rPr>
      </w:pPr>
      <w:r>
        <w:rPr>
          <w:rFonts w:hint="eastAsia" w:asciiTheme="minorEastAsia" w:hAnsiTheme="minorEastAsia" w:eastAsiaTheme="minorEastAsia"/>
          <w:b/>
          <w:sz w:val="44"/>
          <w:szCs w:val="32"/>
        </w:rPr>
        <w:t>光明区田寮社区第六工业区第4栋厂房及宿舍物业公开招标项目</w:t>
      </w:r>
    </w:p>
    <w:p>
      <w:pPr>
        <w:pStyle w:val="9"/>
        <w:spacing w:before="9"/>
        <w:jc w:val="center"/>
        <w:rPr>
          <w:rFonts w:ascii="方正小标宋简体" w:eastAsia="方正小标宋简体"/>
          <w:b/>
          <w:sz w:val="40"/>
          <w:szCs w:val="44"/>
        </w:rPr>
      </w:pPr>
      <w:r>
        <w:rPr>
          <w:rFonts w:hint="eastAsia" w:ascii="方正小标宋简体" w:eastAsia="方正小标宋简体"/>
          <w:b/>
          <w:sz w:val="40"/>
          <w:szCs w:val="44"/>
        </w:rPr>
        <w:t>招标公告</w:t>
      </w:r>
    </w:p>
    <w:p>
      <w:pPr>
        <w:pStyle w:val="9"/>
        <w:spacing w:before="1"/>
        <w:ind w:right="380"/>
        <w:jc w:val="center"/>
        <w:rPr>
          <w:rFonts w:asciiTheme="majorEastAsia" w:hAnsiTheme="majorEastAsia" w:eastAsiaTheme="majorEastAsia"/>
          <w:sz w:val="28"/>
          <w:szCs w:val="32"/>
        </w:rPr>
      </w:pPr>
      <w:r>
        <w:rPr>
          <w:rFonts w:asciiTheme="majorEastAsia" w:hAnsiTheme="majorEastAsia" w:eastAsiaTheme="majorEastAsia"/>
          <w:sz w:val="28"/>
          <w:szCs w:val="32"/>
        </w:rPr>
        <w:t>（项目编号：</w:t>
      </w:r>
      <w:r>
        <w:rPr>
          <w:rFonts w:cs="Arial" w:asciiTheme="minorEastAsia" w:hAnsiTheme="minorEastAsia" w:eastAsiaTheme="minorEastAsia"/>
          <w:color w:val="444444"/>
          <w:sz w:val="28"/>
          <w:szCs w:val="28"/>
        </w:rPr>
        <w:t>GMSZ2020048517</w:t>
      </w:r>
      <w:r>
        <w:rPr>
          <w:rFonts w:asciiTheme="majorEastAsia" w:hAnsiTheme="majorEastAsia" w:eastAsiaTheme="majorEastAsia"/>
          <w:sz w:val="28"/>
          <w:szCs w:val="32"/>
        </w:rPr>
        <w:t>）</w:t>
      </w:r>
    </w:p>
    <w:p>
      <w:pPr>
        <w:pStyle w:val="9"/>
        <w:spacing w:before="1"/>
        <w:ind w:right="380"/>
        <w:jc w:val="center"/>
      </w:pPr>
    </w:p>
    <w:p>
      <w:pPr>
        <w:spacing w:before="4" w:line="242" w:lineRule="auto"/>
        <w:ind w:right="533" w:firstLine="480" w:firstLineChars="200"/>
        <w:rPr>
          <w:sz w:val="24"/>
          <w:szCs w:val="28"/>
        </w:rPr>
      </w:pPr>
      <w:r>
        <w:rPr>
          <w:sz w:val="24"/>
          <w:szCs w:val="28"/>
        </w:rPr>
        <w:t>根据《中华人民共和国招标投标法》《光明</w:t>
      </w:r>
      <w:r>
        <w:rPr>
          <w:rFonts w:hint="eastAsia"/>
          <w:sz w:val="24"/>
          <w:szCs w:val="28"/>
        </w:rPr>
        <w:t>新</w:t>
      </w:r>
      <w:r>
        <w:rPr>
          <w:sz w:val="24"/>
          <w:szCs w:val="28"/>
        </w:rPr>
        <w:t>区社区集体经济资金资产资源交易管理暂行办法》的有关规定，</w:t>
      </w:r>
      <w:r>
        <w:rPr>
          <w:rFonts w:hint="eastAsia" w:asciiTheme="minorEastAsia" w:hAnsiTheme="minorEastAsia" w:eastAsiaTheme="minorEastAsia"/>
          <w:sz w:val="24"/>
          <w:szCs w:val="32"/>
        </w:rPr>
        <w:t>光明区田寮社区第六工业区第4栋厂房及宿舍物业公开招标项目</w:t>
      </w:r>
      <w:r>
        <w:rPr>
          <w:sz w:val="24"/>
          <w:szCs w:val="28"/>
        </w:rPr>
        <w:t>，采用公开招标的方式，欢迎符合资格的投标人参加投标。</w:t>
      </w:r>
    </w:p>
    <w:p>
      <w:pPr>
        <w:spacing w:before="17"/>
        <w:rPr>
          <w:rFonts w:asciiTheme="minorEastAsia" w:hAnsiTheme="minorEastAsia" w:eastAsiaTheme="minorEastAsia"/>
          <w:b/>
          <w:sz w:val="24"/>
          <w:szCs w:val="24"/>
        </w:rPr>
      </w:pPr>
      <w:r>
        <w:rPr>
          <w:rFonts w:asciiTheme="minorEastAsia" w:hAnsiTheme="minorEastAsia" w:eastAsiaTheme="minorEastAsia"/>
          <w:b/>
          <w:sz w:val="24"/>
          <w:szCs w:val="24"/>
        </w:rPr>
        <w:t>一、项目概况</w:t>
      </w:r>
    </w:p>
    <w:tbl>
      <w:tblPr>
        <w:tblStyle w:val="13"/>
        <w:tblpPr w:leftFromText="180" w:rightFromText="180" w:vertAnchor="text" w:tblpX="-50" w:tblpY="1"/>
        <w:tblOverlap w:val="never"/>
        <w:tblW w:w="9717" w:type="dxa"/>
        <w:tblCellSpacing w:w="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678"/>
        <w:gridCol w:w="7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0" w:hRule="atLeast"/>
          <w:tblCellSpacing w:w="20" w:type="dxa"/>
        </w:trPr>
        <w:tc>
          <w:tcPr>
            <w:tcW w:w="2618"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项目名称</w:t>
            </w:r>
          </w:p>
        </w:tc>
        <w:tc>
          <w:tcPr>
            <w:tcW w:w="6979" w:type="dxa"/>
            <w:shd w:val="clear" w:color="auto" w:fill="auto"/>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光明区田寮社区第六工业区第4栋厂房及宿舍物业公开招标项目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20" w:type="dxa"/>
        </w:trPr>
        <w:tc>
          <w:tcPr>
            <w:tcW w:w="2618"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项目编号</w:t>
            </w:r>
          </w:p>
        </w:tc>
        <w:tc>
          <w:tcPr>
            <w:tcW w:w="6979" w:type="dxa"/>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cs="Arial" w:asciiTheme="minorEastAsia" w:hAnsiTheme="minorEastAsia" w:eastAsiaTheme="minorEastAsia"/>
                <w:color w:val="444444"/>
                <w:sz w:val="24"/>
                <w:szCs w:val="24"/>
              </w:rPr>
              <w:t>GMSZ2020048517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8" w:hRule="atLeast"/>
          <w:tblCellSpacing w:w="20" w:type="dxa"/>
        </w:trPr>
        <w:tc>
          <w:tcPr>
            <w:tcW w:w="2618"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项目内容</w:t>
            </w:r>
          </w:p>
        </w:tc>
        <w:tc>
          <w:tcPr>
            <w:tcW w:w="6979"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社区集体资产</w:t>
            </w:r>
            <w:r>
              <w:rPr>
                <w:rFonts w:asciiTheme="minorEastAsia" w:hAnsiTheme="minorEastAsia" w:eastAsiaTheme="minorEastAsia"/>
                <w:color w:val="000000"/>
                <w:sz w:val="24"/>
                <w:szCs w:val="24"/>
              </w:rPr>
              <w:t>-物业租赁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8" w:hRule="atLeast"/>
          <w:tblCellSpacing w:w="20" w:type="dxa"/>
        </w:trPr>
        <w:tc>
          <w:tcPr>
            <w:tcW w:w="2618"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标的地址</w:t>
            </w:r>
          </w:p>
        </w:tc>
        <w:tc>
          <w:tcPr>
            <w:tcW w:w="6979"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sz w:val="24"/>
                <w:szCs w:val="24"/>
              </w:rPr>
              <w:t>光明区田寮社区第六工业区第4栋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1" w:hRule="atLeast"/>
          <w:tblCellSpacing w:w="20" w:type="dxa"/>
        </w:trPr>
        <w:tc>
          <w:tcPr>
            <w:tcW w:w="2618"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标 的来源</w:t>
            </w:r>
          </w:p>
        </w:tc>
        <w:tc>
          <w:tcPr>
            <w:tcW w:w="6979"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社区集体资产类物业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1" w:hRule="atLeast"/>
          <w:tblCellSpacing w:w="20" w:type="dxa"/>
        </w:trPr>
        <w:tc>
          <w:tcPr>
            <w:tcW w:w="2618"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lang w:val="en-US"/>
              </w:rPr>
              <w:t>租赁面积</w:t>
            </w:r>
          </w:p>
        </w:tc>
        <w:tc>
          <w:tcPr>
            <w:tcW w:w="6979"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sz w:val="24"/>
                <w:szCs w:val="24"/>
                <w:lang w:val="en-US"/>
              </w:rPr>
              <w:t>4961</w:t>
            </w:r>
            <w:r>
              <w:rPr>
                <w:rFonts w:hint="eastAsia" w:asciiTheme="minorEastAsia" w:hAnsiTheme="minorEastAsia" w:eastAsia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53" w:hRule="atLeast"/>
          <w:tblCellSpacing w:w="20" w:type="dxa"/>
        </w:trPr>
        <w:tc>
          <w:tcPr>
            <w:tcW w:w="2618"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租赁底价</w:t>
            </w:r>
          </w:p>
        </w:tc>
        <w:tc>
          <w:tcPr>
            <w:tcW w:w="6979"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sz w:val="24"/>
                <w:szCs w:val="24"/>
                <w:lang w:val="en-US"/>
              </w:rPr>
              <w:t>114103</w:t>
            </w:r>
            <w:r>
              <w:rPr>
                <w:rFonts w:hint="eastAsia" w:asciiTheme="minorEastAsia" w:hAnsiTheme="minorEastAsia" w:eastAsiaTheme="minorEastAsia"/>
                <w:sz w:val="24"/>
                <w:szCs w:val="24"/>
              </w:rPr>
              <w:t>元/月（23元（不含税）/月/平方米）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53" w:hRule="atLeast"/>
          <w:tblCellSpacing w:w="20" w:type="dxa"/>
        </w:trPr>
        <w:tc>
          <w:tcPr>
            <w:tcW w:w="2618"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递增情况</w:t>
            </w:r>
          </w:p>
        </w:tc>
        <w:tc>
          <w:tcPr>
            <w:tcW w:w="6979"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1" w:hRule="atLeast"/>
          <w:tblCellSpacing w:w="20" w:type="dxa"/>
        </w:trPr>
        <w:tc>
          <w:tcPr>
            <w:tcW w:w="2618"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租赁期限</w:t>
            </w:r>
          </w:p>
        </w:tc>
        <w:tc>
          <w:tcPr>
            <w:tcW w:w="6979"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2年</w:t>
            </w:r>
            <w:r>
              <w:rPr>
                <w:rFonts w:hint="eastAsia" w:asciiTheme="minorEastAsia" w:hAnsiTheme="minorEastAsia" w:eastAsiaTheme="minorEastAsia"/>
                <w:sz w:val="24"/>
                <w:szCs w:val="24"/>
              </w:rPr>
              <w:t>（若政府征收或城市更新，合同自动终止，双方免责）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1" w:hRule="atLeast"/>
          <w:tblCellSpacing w:w="20" w:type="dxa"/>
        </w:trPr>
        <w:tc>
          <w:tcPr>
            <w:tcW w:w="2618"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免租期</w:t>
            </w:r>
          </w:p>
        </w:tc>
        <w:tc>
          <w:tcPr>
            <w:tcW w:w="6979"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1" w:hRule="atLeast"/>
          <w:tblCellSpacing w:w="20" w:type="dxa"/>
        </w:trPr>
        <w:tc>
          <w:tcPr>
            <w:tcW w:w="2618"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租赁押金</w:t>
            </w:r>
          </w:p>
        </w:tc>
        <w:tc>
          <w:tcPr>
            <w:tcW w:w="6979"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sz w:val="24"/>
                <w:szCs w:val="24"/>
              </w:rPr>
              <w:t>2个月租金（以中标金额计算月租金）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1" w:hRule="atLeast"/>
          <w:tblCellSpacing w:w="20" w:type="dxa"/>
        </w:trPr>
        <w:tc>
          <w:tcPr>
            <w:tcW w:w="2618"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其他费用及要求</w:t>
            </w:r>
          </w:p>
        </w:tc>
        <w:tc>
          <w:tcPr>
            <w:tcW w:w="6979" w:type="dxa"/>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要求中标人（承租方）落实一名厂长岗位工作，厂长的工资由中标人（承租人）支付，工资待遇按深圳当年度最低工资标准支付，并按劳动部门规定的工资涨幅作调整。</w:t>
            </w:r>
          </w:p>
        </w:tc>
      </w:tr>
    </w:tbl>
    <w:p>
      <w:pPr>
        <w:rPr>
          <w:rFonts w:asciiTheme="minorEastAsia" w:hAnsiTheme="minorEastAsia" w:eastAsiaTheme="minorEastAsia"/>
          <w:b/>
          <w:sz w:val="24"/>
          <w:szCs w:val="24"/>
        </w:rPr>
      </w:pPr>
      <w:r>
        <w:rPr>
          <w:rFonts w:hint="eastAsia" w:asciiTheme="minorEastAsia" w:hAnsiTheme="minorEastAsia" w:eastAsiaTheme="minorEastAsia"/>
          <w:b/>
          <w:sz w:val="24"/>
          <w:szCs w:val="24"/>
        </w:rPr>
        <w:t>二、投标</w:t>
      </w:r>
      <w:r>
        <w:rPr>
          <w:rFonts w:asciiTheme="minorEastAsia" w:hAnsiTheme="minorEastAsia" w:eastAsiaTheme="minorEastAsia"/>
          <w:b/>
          <w:sz w:val="24"/>
          <w:szCs w:val="24"/>
        </w:rPr>
        <w:t>人</w:t>
      </w:r>
      <w:r>
        <w:rPr>
          <w:rFonts w:hint="eastAsia" w:asciiTheme="minorEastAsia" w:hAnsiTheme="minorEastAsia" w:eastAsiaTheme="minorEastAsia"/>
          <w:b/>
          <w:sz w:val="24"/>
          <w:szCs w:val="24"/>
        </w:rPr>
        <w:t>资格</w:t>
      </w:r>
      <w:r>
        <w:rPr>
          <w:rFonts w:asciiTheme="minorEastAsia" w:hAnsiTheme="minorEastAsia" w:eastAsiaTheme="minorEastAsia"/>
          <w:b/>
          <w:sz w:val="24"/>
          <w:szCs w:val="24"/>
        </w:rPr>
        <w:t>要求</w:t>
      </w:r>
    </w:p>
    <w:tbl>
      <w:tblPr>
        <w:tblStyle w:val="13"/>
        <w:tblpPr w:leftFromText="180" w:rightFromText="180" w:vertAnchor="text" w:tblpX="-50" w:tblpY="1"/>
        <w:tblOverlap w:val="never"/>
        <w:tblW w:w="9717" w:type="dxa"/>
        <w:tblCellSpacing w:w="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92"/>
        <w:gridCol w:w="9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20" w:type="dxa"/>
        </w:trPr>
        <w:tc>
          <w:tcPr>
            <w:tcW w:w="632" w:type="dxa"/>
            <w:shd w:val="clear" w:color="auto" w:fill="AACDEF"/>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color w:val="000000"/>
                <w:sz w:val="24"/>
                <w:szCs w:val="24"/>
              </w:rPr>
              <w:t>序号</w:t>
            </w:r>
          </w:p>
        </w:tc>
        <w:tc>
          <w:tcPr>
            <w:tcW w:w="8965" w:type="dxa"/>
            <w:shd w:val="clear" w:color="auto" w:fill="AACDEF"/>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color w:val="000000"/>
                <w:sz w:val="24"/>
                <w:szCs w:val="24"/>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48" w:hRule="atLeast"/>
          <w:tblCellSpacing w:w="20" w:type="dxa"/>
        </w:trPr>
        <w:tc>
          <w:tcPr>
            <w:tcW w:w="632" w:type="dxa"/>
            <w:shd w:val="clear" w:color="auto" w:fill="FFFFFF"/>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color w:val="000000"/>
                <w:sz w:val="24"/>
                <w:szCs w:val="24"/>
              </w:rPr>
              <w:t>1</w:t>
            </w:r>
          </w:p>
        </w:tc>
        <w:tc>
          <w:tcPr>
            <w:tcW w:w="8965" w:type="dxa"/>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投标人必须具有独立法人资格，具有独立承担民事责任能力，且企业营业执照未被吊销或注销。（提供营业执照原件扫描件）。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8" w:hRule="atLeast"/>
          <w:tblCellSpacing w:w="20" w:type="dxa"/>
        </w:trPr>
        <w:tc>
          <w:tcPr>
            <w:tcW w:w="632" w:type="dxa"/>
            <w:shd w:val="clear" w:color="auto" w:fill="FFFFFF"/>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2</w:t>
            </w:r>
          </w:p>
        </w:tc>
        <w:tc>
          <w:tcPr>
            <w:tcW w:w="8965"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1B1B1B"/>
                <w:sz w:val="24"/>
                <w:szCs w:val="24"/>
              </w:rPr>
              <w:t>投标截止时间前，投标人未被列入失信被执行人、重大税收违法案件当事人名单；（由招标代理机构通过“信用中国”网站http://www.creditchina.gov.cn查询相关主体信用记录）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1" w:hRule="atLeast"/>
          <w:tblCellSpacing w:w="20" w:type="dxa"/>
        </w:trPr>
        <w:tc>
          <w:tcPr>
            <w:tcW w:w="632" w:type="dxa"/>
            <w:shd w:val="clear" w:color="auto" w:fill="FFFFFF"/>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3</w:t>
            </w:r>
          </w:p>
        </w:tc>
        <w:tc>
          <w:tcPr>
            <w:tcW w:w="8965"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bCs/>
                <w:sz w:val="24"/>
                <w:szCs w:val="24"/>
              </w:rPr>
              <w:t>投标人须通过光明区工业和信息化、生态环境、应急管理部门的拟入驻企业评估（由招标人通过光明区产业空间信息服务平台查询评估结果）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53" w:hRule="atLeast"/>
          <w:tblCellSpacing w:w="20" w:type="dxa"/>
        </w:trPr>
        <w:tc>
          <w:tcPr>
            <w:tcW w:w="632" w:type="dxa"/>
            <w:shd w:val="clear" w:color="auto" w:fill="FFFFFF"/>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4</w:t>
            </w:r>
          </w:p>
        </w:tc>
        <w:tc>
          <w:tcPr>
            <w:tcW w:w="8965"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lang w:val="en-US"/>
              </w:rPr>
            </w:pPr>
            <w:r>
              <w:rPr>
                <w:rFonts w:hint="eastAsia" w:asciiTheme="minorEastAsia" w:hAnsiTheme="minorEastAsia" w:eastAsiaTheme="minorEastAsia"/>
                <w:bCs/>
                <w:sz w:val="24"/>
                <w:szCs w:val="24"/>
              </w:rPr>
              <w:t>企业信用不存在污点</w:t>
            </w:r>
            <w:r>
              <w:rPr>
                <w:rFonts w:hint="eastAsia" w:asciiTheme="minorEastAsia" w:hAnsiTheme="minorEastAsia" w:eastAsiaTheme="minorEastAsia"/>
                <w:bCs/>
                <w:sz w:val="24"/>
                <w:szCs w:val="24"/>
                <w:lang w:val="en-US"/>
              </w:rPr>
              <w:t>，</w:t>
            </w:r>
            <w:r>
              <w:rPr>
                <w:rFonts w:hint="eastAsia" w:asciiTheme="minorEastAsia" w:hAnsiTheme="minorEastAsia" w:eastAsiaTheme="minorEastAsia"/>
                <w:bCs/>
                <w:sz w:val="24"/>
                <w:szCs w:val="24"/>
              </w:rPr>
              <w:t>不得有不良信用记录或被纳入失信被执行人名单</w:t>
            </w:r>
            <w:r>
              <w:rPr>
                <w:rFonts w:hint="eastAsia" w:asciiTheme="minorEastAsia" w:hAnsiTheme="minorEastAsia" w:eastAsiaTheme="minorEastAsia"/>
                <w:bCs/>
                <w:sz w:val="24"/>
                <w:szCs w:val="24"/>
                <w:lang w:val="en-US"/>
              </w:rPr>
              <w:t>；（</w:t>
            </w:r>
            <w:r>
              <w:rPr>
                <w:rFonts w:hint="eastAsia" w:asciiTheme="minorEastAsia" w:hAnsiTheme="minorEastAsia" w:eastAsiaTheme="minorEastAsia"/>
                <w:bCs/>
                <w:sz w:val="24"/>
                <w:szCs w:val="24"/>
              </w:rPr>
              <w:t>投标人提供在深圳信用网</w:t>
            </w:r>
            <w:r>
              <w:rPr>
                <w:rFonts w:asciiTheme="minorEastAsia" w:hAnsiTheme="minorEastAsia" w:eastAsiaTheme="minorEastAsia"/>
                <w:bCs/>
                <w:sz w:val="24"/>
                <w:szCs w:val="24"/>
                <w:lang w:val="en-US"/>
              </w:rPr>
              <w:t>https://www.szcredit.com.cn</w:t>
            </w:r>
            <w:r>
              <w:rPr>
                <w:rFonts w:hint="eastAsia" w:asciiTheme="minorEastAsia" w:hAnsiTheme="minorEastAsia" w:eastAsiaTheme="minorEastAsia"/>
                <w:bCs/>
                <w:sz w:val="24"/>
                <w:szCs w:val="24"/>
              </w:rPr>
              <w:t>打印的</w:t>
            </w:r>
            <w:r>
              <w:rPr>
                <w:rFonts w:hint="eastAsia" w:asciiTheme="minorEastAsia" w:hAnsiTheme="minorEastAsia" w:eastAsiaTheme="minorEastAsia"/>
                <w:bCs/>
                <w:sz w:val="24"/>
                <w:szCs w:val="24"/>
                <w:lang w:val="en-US"/>
              </w:rPr>
              <w:t>“</w:t>
            </w:r>
            <w:r>
              <w:rPr>
                <w:rFonts w:hint="eastAsia" w:asciiTheme="minorEastAsia" w:hAnsiTheme="minorEastAsia" w:eastAsiaTheme="minorEastAsia"/>
                <w:bCs/>
                <w:sz w:val="24"/>
                <w:szCs w:val="24"/>
              </w:rPr>
              <w:t>备案信息查询报告</w:t>
            </w:r>
            <w:r>
              <w:rPr>
                <w:rFonts w:hint="eastAsia" w:asciiTheme="minorEastAsia" w:hAnsiTheme="minorEastAsia" w:eastAsiaTheme="minorEastAsia"/>
                <w:bCs/>
                <w:sz w:val="24"/>
                <w:szCs w:val="24"/>
                <w:lang w:val="en-US"/>
              </w:rPr>
              <w:t>”，</w:t>
            </w:r>
            <w:r>
              <w:rPr>
                <w:rFonts w:hint="eastAsia" w:asciiTheme="minorEastAsia" w:hAnsiTheme="minorEastAsia" w:eastAsiaTheme="minorEastAsia"/>
                <w:bCs/>
                <w:sz w:val="24"/>
                <w:szCs w:val="24"/>
              </w:rPr>
              <w:t>加盖投标人公章</w:t>
            </w:r>
            <w:r>
              <w:rPr>
                <w:rFonts w:hint="eastAsia" w:asciiTheme="minorEastAsia" w:hAnsiTheme="minorEastAsia" w:eastAsiaTheme="minorEastAsia"/>
                <w:bCs/>
                <w:sz w:val="24"/>
                <w:szCs w:val="24"/>
                <w:lang w:val="en-US"/>
              </w:rPr>
              <w:t>，</w:t>
            </w:r>
            <w:r>
              <w:rPr>
                <w:rFonts w:hint="eastAsia" w:asciiTheme="minorEastAsia" w:hAnsiTheme="minorEastAsia" w:eastAsiaTheme="minorEastAsia"/>
                <w:bCs/>
                <w:sz w:val="24"/>
                <w:szCs w:val="24"/>
              </w:rPr>
              <w:t>不提供或提供的证明文件不清晰的证明文件无效</w:t>
            </w:r>
            <w:r>
              <w:rPr>
                <w:rFonts w:hint="eastAsia" w:asciiTheme="minorEastAsia" w:hAnsiTheme="minorEastAsia" w:eastAsiaTheme="minorEastAsia"/>
                <w:bCs/>
                <w:sz w:val="24"/>
                <w:szCs w:val="24"/>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1" w:hRule="atLeast"/>
          <w:tblCellSpacing w:w="20" w:type="dxa"/>
        </w:trPr>
        <w:tc>
          <w:tcPr>
            <w:tcW w:w="632" w:type="dxa"/>
            <w:shd w:val="clear" w:color="auto" w:fill="FFFFFF"/>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5</w:t>
            </w:r>
          </w:p>
        </w:tc>
        <w:tc>
          <w:tcPr>
            <w:tcW w:w="8965" w:type="dxa"/>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asciiTheme="minorEastAsia" w:hAnsiTheme="minorEastAsia" w:eastAsiaTheme="minorEastAsia"/>
                <w:bCs/>
                <w:sz w:val="24"/>
                <w:szCs w:val="24"/>
              </w:rPr>
              <w:t>投标人须严格遵守《深圳市产业结构调整优化和产业导向目录（2016 年修订）》、《光明</w:t>
            </w:r>
            <w:r>
              <w:rPr>
                <w:rFonts w:hint="eastAsia" w:asciiTheme="minorEastAsia" w:hAnsiTheme="minorEastAsia" w:eastAsiaTheme="minorEastAsia"/>
                <w:bCs/>
                <w:sz w:val="24"/>
                <w:szCs w:val="24"/>
              </w:rPr>
              <w:t>新</w:t>
            </w:r>
            <w:r>
              <w:rPr>
                <w:rFonts w:asciiTheme="minorEastAsia" w:hAnsiTheme="minorEastAsia" w:eastAsiaTheme="minorEastAsia"/>
                <w:bCs/>
                <w:sz w:val="24"/>
                <w:szCs w:val="24"/>
              </w:rPr>
              <w:t>区社区股份公司物业产业准入负面清单》</w:t>
            </w:r>
            <w:r>
              <w:rPr>
                <w:rFonts w:hint="eastAsia" w:asciiTheme="minorEastAsia" w:hAnsiTheme="minorEastAsia" w:eastAsiaTheme="minorEastAsia"/>
                <w:bCs/>
                <w:sz w:val="24"/>
                <w:szCs w:val="24"/>
              </w:rPr>
              <w:t>及《光明区产业准入清单暨“散乱污危”企业（场所）认定标准》</w:t>
            </w:r>
            <w:r>
              <w:rPr>
                <w:rFonts w:asciiTheme="minorEastAsia" w:hAnsiTheme="minorEastAsia" w:eastAsiaTheme="minorEastAsia"/>
                <w:bCs/>
                <w:sz w:val="24"/>
                <w:szCs w:val="24"/>
              </w:rPr>
              <w:t>等有关规定；</w:t>
            </w:r>
            <w:r>
              <w:rPr>
                <w:rFonts w:hint="eastAsia" w:asciiTheme="minorEastAsia" w:hAnsiTheme="minorEastAsia" w:eastAsiaTheme="minorEastAsia"/>
                <w:bCs/>
                <w:sz w:val="24"/>
                <w:szCs w:val="24"/>
              </w:rPr>
              <w:t>（</w:t>
            </w:r>
            <w:r>
              <w:rPr>
                <w:rFonts w:asciiTheme="minorEastAsia" w:hAnsiTheme="minorEastAsia" w:eastAsiaTheme="minorEastAsia"/>
                <w:bCs/>
                <w:sz w:val="24"/>
                <w:szCs w:val="24"/>
              </w:rPr>
              <w:t>投标人</w:t>
            </w:r>
            <w:r>
              <w:rPr>
                <w:rFonts w:hint="eastAsia" w:asciiTheme="minorEastAsia" w:hAnsiTheme="minorEastAsia" w:eastAsiaTheme="minorEastAsia"/>
                <w:sz w:val="24"/>
                <w:szCs w:val="24"/>
              </w:rPr>
              <w:t>提供“产业规范</w:t>
            </w:r>
            <w:r>
              <w:rPr>
                <w:rFonts w:hint="eastAsia" w:asciiTheme="minorEastAsia" w:hAnsiTheme="minorEastAsia" w:eastAsiaTheme="minorEastAsia"/>
                <w:color w:val="000000" w:themeColor="text1"/>
                <w:sz w:val="24"/>
                <w:szCs w:val="24"/>
              </w:rPr>
              <w:t>承诺函</w:t>
            </w:r>
            <w:r>
              <w:rPr>
                <w:rFonts w:hint="eastAsia" w:asciiTheme="minorEastAsia" w:hAnsiTheme="minorEastAsia" w:eastAsiaTheme="minorEastAsia"/>
                <w:sz w:val="24"/>
                <w:szCs w:val="24"/>
              </w:rPr>
              <w:t>”加盖投标人公章</w:t>
            </w:r>
            <w:r>
              <w:rPr>
                <w:rFonts w:hint="eastAsia" w:asciiTheme="minorEastAsia" w:hAnsiTheme="minorEastAsia" w:eastAsiaTheme="minorEastAsia"/>
                <w:bCs/>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1" w:hRule="atLeast"/>
          <w:tblCellSpacing w:w="20" w:type="dxa"/>
        </w:trPr>
        <w:tc>
          <w:tcPr>
            <w:tcW w:w="632" w:type="dxa"/>
            <w:shd w:val="clear" w:color="auto" w:fill="FFFFFF"/>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6</w:t>
            </w:r>
          </w:p>
        </w:tc>
        <w:tc>
          <w:tcPr>
            <w:tcW w:w="8965"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sz w:val="24"/>
                <w:szCs w:val="24"/>
              </w:rPr>
              <w:t>相互间有直接控股关系或法定代表人为同一人的两个或两个以上的法人，不得同时参加该项目的投标（提供“</w:t>
            </w:r>
            <w:r>
              <w:rPr>
                <w:rFonts w:hint="eastAsia" w:asciiTheme="minorEastAsia" w:hAnsiTheme="minorEastAsia" w:eastAsiaTheme="minorEastAsia"/>
                <w:color w:val="000000" w:themeColor="text1"/>
                <w:sz w:val="24"/>
                <w:szCs w:val="24"/>
              </w:rPr>
              <w:t>声明函</w:t>
            </w:r>
            <w:r>
              <w:rPr>
                <w:rFonts w:hint="eastAsia" w:asciiTheme="minorEastAsia" w:hAnsiTheme="minorEastAsia" w:eastAsiaTheme="minorEastAsia"/>
                <w:sz w:val="24"/>
                <w:szCs w:val="24"/>
              </w:rPr>
              <w:t>”加盖投标人公章）；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1" w:hRule="atLeast"/>
          <w:tblCellSpacing w:w="20" w:type="dxa"/>
        </w:trPr>
        <w:tc>
          <w:tcPr>
            <w:tcW w:w="632" w:type="dxa"/>
            <w:shd w:val="clear" w:color="auto" w:fill="FFFFFF"/>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7</w:t>
            </w:r>
          </w:p>
        </w:tc>
        <w:tc>
          <w:tcPr>
            <w:tcW w:w="8965" w:type="dxa"/>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招标人董事会、监事会、集体资产管理委员会成员及其直系亲属控股或参与经营的企业，不得参与本项目（提供“</w:t>
            </w:r>
            <w:r>
              <w:rPr>
                <w:rFonts w:hint="eastAsia" w:asciiTheme="minorEastAsia" w:hAnsiTheme="minorEastAsia" w:eastAsiaTheme="minorEastAsia"/>
                <w:color w:val="000000" w:themeColor="text1"/>
                <w:sz w:val="24"/>
                <w:szCs w:val="24"/>
              </w:rPr>
              <w:t>声明函</w:t>
            </w:r>
            <w:r>
              <w:rPr>
                <w:rFonts w:hint="eastAsia" w:asciiTheme="minorEastAsia" w:hAnsiTheme="minorEastAsia" w:eastAsiaTheme="minorEastAsia"/>
                <w:sz w:val="24"/>
                <w:szCs w:val="24"/>
              </w:rPr>
              <w:t>”加盖投标人公章）；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1" w:hRule="atLeast"/>
          <w:tblCellSpacing w:w="20" w:type="dxa"/>
        </w:trPr>
        <w:tc>
          <w:tcPr>
            <w:tcW w:w="632" w:type="dxa"/>
            <w:shd w:val="clear" w:color="auto" w:fill="FFFFFF"/>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8</w:t>
            </w:r>
          </w:p>
        </w:tc>
        <w:tc>
          <w:tcPr>
            <w:tcW w:w="8965" w:type="dxa"/>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asciiTheme="minorEastAsia" w:hAnsiTheme="minorEastAsia" w:eastAsiaTheme="minorEastAsia"/>
                <w:sz w:val="24"/>
                <w:szCs w:val="24"/>
              </w:rPr>
              <w:t>本项目不允许转租、分租；</w:t>
            </w:r>
            <w:r>
              <w:rPr>
                <w:rFonts w:hint="eastAsia" w:asciiTheme="minorEastAsia" w:hAnsiTheme="minorEastAsia" w:eastAsiaTheme="minorEastAsia"/>
                <w:sz w:val="24"/>
                <w:szCs w:val="24"/>
              </w:rPr>
              <w:t>（</w:t>
            </w:r>
            <w:r>
              <w:rPr>
                <w:rFonts w:asciiTheme="minorEastAsia" w:hAnsiTheme="minorEastAsia" w:eastAsiaTheme="minorEastAsia"/>
                <w:spacing w:val="-12"/>
                <w:sz w:val="24"/>
                <w:szCs w:val="24"/>
              </w:rPr>
              <w:t>投标人</w:t>
            </w:r>
            <w:r>
              <w:rPr>
                <w:rFonts w:hint="eastAsia" w:asciiTheme="minorEastAsia" w:hAnsiTheme="minorEastAsia" w:eastAsiaTheme="minorEastAsia"/>
                <w:sz w:val="24"/>
                <w:szCs w:val="24"/>
              </w:rPr>
              <w:t>提供“</w:t>
            </w:r>
            <w:r>
              <w:rPr>
                <w:rFonts w:hint="eastAsia" w:asciiTheme="minorEastAsia" w:hAnsiTheme="minorEastAsia" w:eastAsiaTheme="minorEastAsia"/>
                <w:color w:val="000000" w:themeColor="text1"/>
                <w:sz w:val="24"/>
                <w:szCs w:val="24"/>
              </w:rPr>
              <w:t>声明函</w:t>
            </w:r>
            <w:r>
              <w:rPr>
                <w:rFonts w:hint="eastAsia" w:asciiTheme="minorEastAsia" w:hAnsiTheme="minorEastAsia" w:eastAsiaTheme="minorEastAsia"/>
                <w:sz w:val="24"/>
                <w:szCs w:val="24"/>
              </w:rPr>
              <w:t>”加盖投标人公章）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1" w:hRule="atLeast"/>
          <w:tblCellSpacing w:w="20" w:type="dxa"/>
        </w:trPr>
        <w:tc>
          <w:tcPr>
            <w:tcW w:w="632" w:type="dxa"/>
            <w:shd w:val="clear" w:color="auto" w:fill="FFFFFF"/>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9</w:t>
            </w:r>
          </w:p>
        </w:tc>
        <w:tc>
          <w:tcPr>
            <w:tcW w:w="8965" w:type="dxa"/>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asciiTheme="minorEastAsia" w:hAnsiTheme="minorEastAsia" w:eastAsiaTheme="minorEastAsia"/>
                <w:sz w:val="24"/>
                <w:szCs w:val="24"/>
              </w:rPr>
              <w:t>本项目不允许</w:t>
            </w:r>
            <w:r>
              <w:rPr>
                <w:rFonts w:hint="eastAsia" w:asciiTheme="minorEastAsia" w:hAnsiTheme="minorEastAsia" w:eastAsiaTheme="minorEastAsia"/>
                <w:sz w:val="24"/>
                <w:szCs w:val="24"/>
              </w:rPr>
              <w:t>联合体投标（</w:t>
            </w:r>
            <w:r>
              <w:rPr>
                <w:rFonts w:asciiTheme="minorEastAsia" w:hAnsiTheme="minorEastAsia" w:eastAsiaTheme="minorEastAsia"/>
                <w:spacing w:val="-12"/>
                <w:sz w:val="24"/>
                <w:szCs w:val="24"/>
              </w:rPr>
              <w:t>投标人</w:t>
            </w:r>
            <w:r>
              <w:rPr>
                <w:rFonts w:hint="eastAsia" w:asciiTheme="minorEastAsia" w:hAnsiTheme="minorEastAsia" w:eastAsiaTheme="minorEastAsia"/>
                <w:sz w:val="24"/>
                <w:szCs w:val="24"/>
              </w:rPr>
              <w:t>无须提供证明材料）</w:t>
            </w:r>
          </w:p>
        </w:tc>
      </w:tr>
    </w:tbl>
    <w:p>
      <w:pPr>
        <w:rPr>
          <w:rFonts w:asciiTheme="minorEastAsia" w:hAnsiTheme="minorEastAsia" w:eastAsiaTheme="minorEastAsia"/>
          <w:b/>
          <w:sz w:val="24"/>
          <w:szCs w:val="24"/>
        </w:rPr>
      </w:pPr>
      <w:r>
        <w:rPr>
          <w:rFonts w:hint="eastAsia" w:asciiTheme="minorEastAsia" w:hAnsiTheme="minorEastAsia" w:eastAsiaTheme="minorEastAsia"/>
          <w:b/>
          <w:sz w:val="24"/>
          <w:szCs w:val="24"/>
        </w:rPr>
        <w:t>三、招租文件获取办法</w:t>
      </w:r>
    </w:p>
    <w:tbl>
      <w:tblPr>
        <w:tblStyle w:val="13"/>
        <w:tblpPr w:leftFromText="180" w:rightFromText="180" w:vertAnchor="text" w:tblpX="-50" w:tblpY="1"/>
        <w:tblOverlap w:val="never"/>
        <w:tblW w:w="9717" w:type="dxa"/>
        <w:tblCellSpacing w:w="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630"/>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38" w:hRule="atLeast"/>
          <w:tblCellSpacing w:w="20" w:type="dxa"/>
        </w:trPr>
        <w:tc>
          <w:tcPr>
            <w:tcW w:w="2570" w:type="dxa"/>
            <w:tcBorders>
              <w:top w:val="single" w:color="auto" w:sz="4" w:space="0"/>
              <w:left w:val="single" w:color="auto" w:sz="4" w:space="0"/>
              <w:bottom w:val="single" w:color="auto" w:sz="4" w:space="0"/>
              <w:right w:val="single" w:color="auto" w:sz="4" w:space="0"/>
            </w:tcBorders>
            <w:shd w:val="clear" w:color="auto" w:fill="AACDEF"/>
            <w:tcMar>
              <w:top w:w="28" w:type="dxa"/>
              <w:left w:w="28" w:type="dxa"/>
              <w:bottom w:w="28" w:type="dxa"/>
              <w:right w:w="28" w:type="dxa"/>
            </w:tcMar>
            <w:vAlign w:val="center"/>
          </w:tcPr>
          <w:p>
            <w:pPr>
              <w:jc w:val="center"/>
              <w:rPr>
                <w:rFonts w:asciiTheme="minorEastAsia" w:hAnsiTheme="minorEastAsia" w:eastAsiaTheme="minorEastAsia"/>
                <w:bCs/>
                <w:sz w:val="24"/>
                <w:szCs w:val="24"/>
              </w:rPr>
            </w:pPr>
            <w:r>
              <w:rPr>
                <w:rFonts w:hint="eastAsia" w:asciiTheme="minorEastAsia" w:hAnsiTheme="minorEastAsia" w:eastAsiaTheme="minorEastAsia"/>
                <w:bCs/>
                <w:sz w:val="24"/>
                <w:szCs w:val="24"/>
              </w:rPr>
              <w:t>项目开评标方式</w:t>
            </w:r>
          </w:p>
        </w:tc>
        <w:tc>
          <w:tcPr>
            <w:tcW w:w="7027" w:type="dxa"/>
            <w:tcBorders>
              <w:top w:val="single" w:color="auto" w:sz="4" w:space="0"/>
              <w:left w:val="single" w:color="auto" w:sz="4" w:space="0"/>
              <w:bottom w:val="single" w:color="auto" w:sz="4" w:space="0"/>
              <w:right w:val="single" w:color="auto" w:sz="4" w:space="0"/>
            </w:tcBorders>
            <w:shd w:val="clear" w:color="auto" w:fill="FFFFFF"/>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color w:val="000000"/>
                <w:sz w:val="24"/>
                <w:szCs w:val="24"/>
              </w:rPr>
              <w:t>本项目采取</w:t>
            </w:r>
            <w:r>
              <w:rPr>
                <w:rFonts w:hint="eastAsia" w:asciiTheme="minorEastAsia" w:hAnsiTheme="minorEastAsia" w:eastAsiaTheme="minorEastAsia"/>
                <w:bCs/>
                <w:color w:val="FF0000"/>
                <w:sz w:val="24"/>
                <w:szCs w:val="24"/>
              </w:rPr>
              <w:t>纸质开评标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20" w:type="dxa"/>
        </w:trPr>
        <w:tc>
          <w:tcPr>
            <w:tcW w:w="2570" w:type="dxa"/>
            <w:tcBorders>
              <w:top w:val="single" w:color="auto" w:sz="4" w:space="0"/>
              <w:left w:val="single" w:color="auto" w:sz="4" w:space="0"/>
              <w:bottom w:val="single" w:color="auto" w:sz="4" w:space="0"/>
              <w:right w:val="single" w:color="auto" w:sz="4" w:space="0"/>
            </w:tcBorders>
            <w:shd w:val="clear" w:color="auto" w:fill="AACDEF"/>
            <w:tcMar>
              <w:top w:w="28" w:type="dxa"/>
              <w:left w:w="28" w:type="dxa"/>
              <w:bottom w:w="28" w:type="dxa"/>
              <w:right w:w="28" w:type="dxa"/>
            </w:tcMar>
            <w:vAlign w:val="center"/>
          </w:tcPr>
          <w:p>
            <w:pPr>
              <w:jc w:val="center"/>
              <w:rPr>
                <w:rFonts w:asciiTheme="minorEastAsia" w:hAnsiTheme="minorEastAsia" w:eastAsiaTheme="minorEastAsia"/>
                <w:bCs/>
                <w:sz w:val="24"/>
                <w:szCs w:val="24"/>
              </w:rPr>
            </w:pPr>
            <w:r>
              <w:rPr>
                <w:rFonts w:hint="eastAsia" w:asciiTheme="minorEastAsia" w:hAnsiTheme="minorEastAsia" w:eastAsiaTheme="minorEastAsia"/>
                <w:bCs/>
                <w:sz w:val="24"/>
                <w:szCs w:val="24"/>
              </w:rPr>
              <w:t>招租文件获取时间</w:t>
            </w:r>
          </w:p>
        </w:tc>
        <w:tc>
          <w:tcPr>
            <w:tcW w:w="7027" w:type="dxa"/>
            <w:tcBorders>
              <w:top w:val="single" w:color="auto" w:sz="4" w:space="0"/>
              <w:left w:val="single" w:color="auto" w:sz="4" w:space="0"/>
              <w:bottom w:val="single" w:color="auto" w:sz="4" w:space="0"/>
              <w:right w:val="single" w:color="auto" w:sz="4" w:space="0"/>
            </w:tcBorders>
            <w:shd w:val="clear" w:color="auto" w:fill="FFFFFF"/>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2020年5月8日18时00分（北京时间）至2020年5月19日18时00分（北京时间）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38" w:hRule="atLeast"/>
          <w:tblCellSpacing w:w="20" w:type="dxa"/>
        </w:trPr>
        <w:tc>
          <w:tcPr>
            <w:tcW w:w="2570" w:type="dxa"/>
            <w:tcBorders>
              <w:top w:val="single" w:color="auto" w:sz="4" w:space="0"/>
              <w:left w:val="single" w:color="auto" w:sz="4" w:space="0"/>
              <w:bottom w:val="single" w:color="auto" w:sz="4" w:space="0"/>
              <w:right w:val="single" w:color="auto" w:sz="4" w:space="0"/>
            </w:tcBorders>
            <w:shd w:val="clear" w:color="auto" w:fill="AACDEF"/>
            <w:tcMar>
              <w:top w:w="28" w:type="dxa"/>
              <w:left w:w="28" w:type="dxa"/>
              <w:bottom w:w="28" w:type="dxa"/>
              <w:right w:w="28" w:type="dxa"/>
            </w:tcMar>
            <w:vAlign w:val="center"/>
          </w:tcPr>
          <w:p>
            <w:pPr>
              <w:jc w:val="center"/>
              <w:rPr>
                <w:rFonts w:asciiTheme="minorEastAsia" w:hAnsiTheme="minorEastAsia" w:eastAsiaTheme="minorEastAsia"/>
                <w:bCs/>
                <w:sz w:val="24"/>
                <w:szCs w:val="24"/>
              </w:rPr>
            </w:pPr>
            <w:r>
              <w:rPr>
                <w:rFonts w:hint="eastAsia" w:asciiTheme="minorEastAsia" w:hAnsiTheme="minorEastAsia" w:eastAsiaTheme="minorEastAsia"/>
                <w:bCs/>
                <w:sz w:val="24"/>
                <w:szCs w:val="24"/>
              </w:rPr>
              <w:t>招租文件获取渠道</w:t>
            </w:r>
          </w:p>
        </w:tc>
        <w:tc>
          <w:tcPr>
            <w:tcW w:w="7027" w:type="dxa"/>
            <w:tcBorders>
              <w:top w:val="single" w:color="auto" w:sz="4" w:space="0"/>
              <w:left w:val="single" w:color="auto" w:sz="4" w:space="0"/>
              <w:bottom w:val="single" w:color="auto" w:sz="4" w:space="0"/>
              <w:right w:val="single" w:color="auto" w:sz="4" w:space="0"/>
            </w:tcBorders>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color w:val="FF0000"/>
                <w:sz w:val="24"/>
                <w:szCs w:val="24"/>
              </w:rPr>
              <w:t>本公告链接直接下载（详见附件）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20" w:type="dxa"/>
        </w:trPr>
        <w:tc>
          <w:tcPr>
            <w:tcW w:w="2570" w:type="dxa"/>
            <w:tcBorders>
              <w:top w:val="single" w:color="auto" w:sz="4" w:space="0"/>
              <w:left w:val="single" w:color="auto" w:sz="4" w:space="0"/>
              <w:bottom w:val="single" w:color="auto" w:sz="4" w:space="0"/>
              <w:right w:val="single" w:color="auto" w:sz="4" w:space="0"/>
            </w:tcBorders>
            <w:shd w:val="clear" w:color="auto" w:fill="AACDEF"/>
            <w:tcMar>
              <w:top w:w="28" w:type="dxa"/>
              <w:left w:w="28" w:type="dxa"/>
              <w:bottom w:w="28" w:type="dxa"/>
              <w:right w:w="28" w:type="dxa"/>
            </w:tcMar>
            <w:vAlign w:val="center"/>
          </w:tcPr>
          <w:p>
            <w:pPr>
              <w:jc w:val="center"/>
              <w:rPr>
                <w:rFonts w:asciiTheme="minorEastAsia" w:hAnsiTheme="minorEastAsia" w:eastAsiaTheme="minorEastAsia"/>
                <w:bCs/>
                <w:sz w:val="24"/>
                <w:szCs w:val="24"/>
              </w:rPr>
            </w:pPr>
            <w:r>
              <w:rPr>
                <w:rFonts w:hint="eastAsia" w:asciiTheme="minorEastAsia" w:hAnsiTheme="minorEastAsia" w:eastAsiaTheme="minorEastAsia"/>
                <w:bCs/>
                <w:color w:val="000000"/>
                <w:sz w:val="24"/>
                <w:szCs w:val="24"/>
              </w:rPr>
              <w:t>投标人信息登记</w:t>
            </w:r>
          </w:p>
        </w:tc>
        <w:tc>
          <w:tcPr>
            <w:tcW w:w="7027" w:type="dxa"/>
            <w:tcBorders>
              <w:top w:val="single" w:color="auto" w:sz="4" w:space="0"/>
              <w:left w:val="single" w:color="auto" w:sz="4" w:space="0"/>
              <w:bottom w:val="single" w:color="auto" w:sz="4" w:space="0"/>
              <w:right w:val="single" w:color="auto" w:sz="4" w:space="0"/>
            </w:tcBorders>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投标人应在投标前到招标公告中规定的时间和指定地点购买标书文件，并填写登记相关信息，按招标文件要求缴纳投标保证金。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20" w:type="dxa"/>
        </w:trPr>
        <w:tc>
          <w:tcPr>
            <w:tcW w:w="2570" w:type="dxa"/>
            <w:tcBorders>
              <w:top w:val="single" w:color="auto" w:sz="4" w:space="0"/>
              <w:left w:val="single" w:color="auto" w:sz="4" w:space="0"/>
              <w:bottom w:val="single" w:color="auto" w:sz="4" w:space="0"/>
              <w:right w:val="single" w:color="auto" w:sz="4" w:space="0"/>
            </w:tcBorders>
            <w:shd w:val="clear" w:color="auto" w:fill="AACDEF"/>
            <w:tcMar>
              <w:top w:w="28" w:type="dxa"/>
              <w:left w:w="28" w:type="dxa"/>
              <w:bottom w:w="28" w:type="dxa"/>
              <w:right w:w="28" w:type="dxa"/>
            </w:tcMar>
            <w:vAlign w:val="center"/>
          </w:tcPr>
          <w:p>
            <w:pPr>
              <w:jc w:val="center"/>
              <w:rPr>
                <w:rFonts w:asciiTheme="minorEastAsia" w:hAnsiTheme="minorEastAsia" w:eastAsiaTheme="minorEastAsia"/>
                <w:bCs/>
                <w:sz w:val="24"/>
                <w:szCs w:val="24"/>
              </w:rPr>
            </w:pPr>
            <w:r>
              <w:rPr>
                <w:rFonts w:hint="eastAsia" w:asciiTheme="minorEastAsia" w:hAnsiTheme="minorEastAsia" w:eastAsiaTheme="minorEastAsia"/>
                <w:bCs/>
                <w:sz w:val="24"/>
                <w:szCs w:val="24"/>
              </w:rPr>
              <w:t>报名要求</w:t>
            </w:r>
          </w:p>
        </w:tc>
        <w:tc>
          <w:tcPr>
            <w:tcW w:w="7027" w:type="dxa"/>
            <w:tcBorders>
              <w:top w:val="single" w:color="auto" w:sz="4" w:space="0"/>
              <w:left w:val="single" w:color="auto" w:sz="4" w:space="0"/>
              <w:bottom w:val="single" w:color="auto" w:sz="4" w:space="0"/>
              <w:right w:val="single" w:color="auto" w:sz="4" w:space="0"/>
            </w:tcBorders>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投标人下载招标文件后，如确认参加本项目投标，请于</w:t>
            </w:r>
            <w:r>
              <w:rPr>
                <w:rFonts w:asciiTheme="minorEastAsia" w:hAnsiTheme="minorEastAsia" w:eastAsiaTheme="minorEastAsia"/>
                <w:sz w:val="24"/>
                <w:szCs w:val="24"/>
              </w:rPr>
              <w:t>2020年</w:t>
            </w:r>
            <w:r>
              <w:rPr>
                <w:rFonts w:hint="eastAsia" w:asciiTheme="minorEastAsia" w:hAnsiTheme="minorEastAsia" w:eastAsiaTheme="minorEastAsia"/>
                <w:sz w:val="24"/>
                <w:szCs w:val="24"/>
              </w:rPr>
              <w:t>5</w:t>
            </w:r>
            <w:r>
              <w:rPr>
                <w:rFonts w:asciiTheme="minorEastAsia" w:hAnsiTheme="minorEastAsia" w:eastAsiaTheme="minorEastAsia"/>
                <w:sz w:val="24"/>
                <w:szCs w:val="24"/>
              </w:rPr>
              <w:t>月</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19</w:t>
            </w:r>
            <w:r>
              <w:rPr>
                <w:rFonts w:asciiTheme="minorEastAsia" w:hAnsiTheme="minorEastAsia" w:eastAsiaTheme="minorEastAsia"/>
                <w:sz w:val="24"/>
                <w:szCs w:val="24"/>
              </w:rPr>
              <w:t>日18时前携带“报名资料”中所规定的材料到招标代理机构指</w:t>
            </w:r>
          </w:p>
          <w:p>
            <w:pPr>
              <w:jc w:val="center"/>
              <w:rPr>
                <w:rFonts w:asciiTheme="minorEastAsia" w:hAnsiTheme="minorEastAsia" w:eastAsiaTheme="minorEastAsia"/>
                <w:sz w:val="24"/>
                <w:szCs w:val="24"/>
              </w:rPr>
            </w:pPr>
            <w:r>
              <w:rPr>
                <w:rFonts w:asciiTheme="minorEastAsia" w:hAnsiTheme="minorEastAsia" w:eastAsiaTheme="minorEastAsia"/>
                <w:sz w:val="24"/>
                <w:szCs w:val="24"/>
              </w:rPr>
              <w:t>定现场报名及现场缴纳标书费；或扫描“报名资料”中所规定</w:t>
            </w:r>
          </w:p>
          <w:p>
            <w:pPr>
              <w:jc w:val="center"/>
              <w:rPr>
                <w:rFonts w:asciiTheme="minorEastAsia" w:hAnsiTheme="minorEastAsia" w:eastAsiaTheme="minorEastAsia"/>
                <w:sz w:val="24"/>
                <w:szCs w:val="24"/>
              </w:rPr>
            </w:pPr>
            <w:r>
              <w:rPr>
                <w:rFonts w:asciiTheme="minorEastAsia" w:hAnsiTheme="minorEastAsia" w:eastAsiaTheme="minorEastAsia"/>
                <w:sz w:val="24"/>
                <w:szCs w:val="24"/>
              </w:rPr>
              <w:t>材料发送到招标代理机构指定的</w:t>
            </w:r>
            <w:r>
              <w:rPr>
                <w:rFonts w:hint="eastAsia" w:asciiTheme="minorEastAsia" w:hAnsiTheme="minorEastAsia" w:eastAsiaTheme="minorEastAsia"/>
                <w:sz w:val="24"/>
                <w:szCs w:val="24"/>
              </w:rPr>
              <w:t>电子</w:t>
            </w:r>
            <w:r>
              <w:rPr>
                <w:rFonts w:asciiTheme="minorEastAsia" w:hAnsiTheme="minorEastAsia" w:eastAsiaTheme="minorEastAsia"/>
                <w:sz w:val="24"/>
                <w:szCs w:val="24"/>
              </w:rPr>
              <w:t>邮箱地址</w:t>
            </w:r>
            <w:r>
              <w:fldChar w:fldCharType="begin"/>
            </w:r>
            <w:r>
              <w:instrText xml:space="preserve"> HYPERLINK "mailto:419618437@qq.com" </w:instrText>
            </w:r>
            <w:r>
              <w:fldChar w:fldCharType="separate"/>
            </w:r>
            <w:r>
              <w:rPr>
                <w:rStyle w:val="16"/>
                <w:rFonts w:asciiTheme="minorEastAsia" w:hAnsiTheme="minorEastAsia" w:eastAsiaTheme="minorEastAsia"/>
                <w:sz w:val="24"/>
                <w:szCs w:val="24"/>
              </w:rPr>
              <w:t>419618437@qq.com</w:t>
            </w:r>
            <w:r>
              <w:rPr>
                <w:rStyle w:val="16"/>
                <w:rFonts w:asciiTheme="minorEastAsia" w:hAnsiTheme="minorEastAsia" w:eastAsiaTheme="minorEastAsia"/>
                <w:sz w:val="24"/>
                <w:szCs w:val="24"/>
              </w:rPr>
              <w:fldChar w:fldCharType="end"/>
            </w:r>
          </w:p>
          <w:p>
            <w:pPr>
              <w:jc w:val="center"/>
              <w:rPr>
                <w:rFonts w:asciiTheme="minorEastAsia" w:hAnsiTheme="minorEastAsia" w:eastAsiaTheme="minorEastAsia"/>
                <w:sz w:val="24"/>
                <w:szCs w:val="24"/>
              </w:rPr>
            </w:pPr>
            <w:r>
              <w:rPr>
                <w:rFonts w:asciiTheme="minorEastAsia" w:hAnsiTheme="minorEastAsia" w:eastAsiaTheme="minorEastAsia"/>
                <w:sz w:val="24"/>
                <w:szCs w:val="24"/>
              </w:rPr>
              <w:t>及缴纳标书费，转账支付标书费后通知招标代理机构开具收据，</w:t>
            </w:r>
          </w:p>
          <w:p>
            <w:pPr>
              <w:jc w:val="center"/>
              <w:rPr>
                <w:rFonts w:asciiTheme="minorEastAsia" w:hAnsiTheme="minorEastAsia" w:eastAsiaTheme="minorEastAsia"/>
                <w:sz w:val="24"/>
                <w:szCs w:val="24"/>
              </w:rPr>
            </w:pPr>
            <w:r>
              <w:rPr>
                <w:rFonts w:asciiTheme="minorEastAsia" w:hAnsiTheme="minorEastAsia" w:eastAsiaTheme="minorEastAsia"/>
                <w:sz w:val="24"/>
                <w:szCs w:val="24"/>
              </w:rPr>
              <w:t>收据由招标代理机构扫描发送至投标人作为支付凭证。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4" w:hRule="atLeast"/>
          <w:tblCellSpacing w:w="20" w:type="dxa"/>
        </w:trPr>
        <w:tc>
          <w:tcPr>
            <w:tcW w:w="2570" w:type="dxa"/>
            <w:tcBorders>
              <w:top w:val="single" w:color="auto" w:sz="4" w:space="0"/>
              <w:left w:val="single" w:color="auto" w:sz="4" w:space="0"/>
              <w:bottom w:val="single" w:color="auto" w:sz="4" w:space="0"/>
              <w:right w:val="single" w:color="auto" w:sz="4" w:space="0"/>
            </w:tcBorders>
            <w:shd w:val="clear" w:color="auto" w:fill="AACDEF"/>
            <w:tcMar>
              <w:top w:w="28" w:type="dxa"/>
              <w:left w:w="28" w:type="dxa"/>
              <w:bottom w:w="28" w:type="dxa"/>
              <w:right w:w="28" w:type="dxa"/>
            </w:tcMar>
            <w:vAlign w:val="center"/>
          </w:tcPr>
          <w:p>
            <w:pPr>
              <w:jc w:val="center"/>
              <w:rPr>
                <w:rFonts w:asciiTheme="minorEastAsia" w:hAnsiTheme="minorEastAsia" w:eastAsiaTheme="minorEastAsia"/>
                <w:bCs/>
                <w:sz w:val="24"/>
                <w:szCs w:val="24"/>
              </w:rPr>
            </w:pPr>
            <w:r>
              <w:rPr>
                <w:rFonts w:hint="eastAsia" w:asciiTheme="minorEastAsia" w:hAnsiTheme="minorEastAsia" w:eastAsiaTheme="minorEastAsia"/>
                <w:bCs/>
                <w:sz w:val="24"/>
                <w:szCs w:val="24"/>
              </w:rPr>
              <w:t>购买地点</w:t>
            </w:r>
          </w:p>
        </w:tc>
        <w:tc>
          <w:tcPr>
            <w:tcW w:w="7027" w:type="dxa"/>
            <w:tcBorders>
              <w:top w:val="single" w:color="auto" w:sz="4" w:space="0"/>
              <w:left w:val="single" w:color="auto" w:sz="4" w:space="0"/>
              <w:bottom w:val="single" w:color="auto" w:sz="4" w:space="0"/>
              <w:right w:val="single" w:color="auto" w:sz="4" w:space="0"/>
            </w:tcBorders>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深圳市宝安区新安街道上合新福材料装饰市场2栋210。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blCellSpacing w:w="20" w:type="dxa"/>
        </w:trPr>
        <w:tc>
          <w:tcPr>
            <w:tcW w:w="2570" w:type="dxa"/>
            <w:tcBorders>
              <w:top w:val="single" w:color="auto" w:sz="4" w:space="0"/>
              <w:left w:val="single" w:color="auto" w:sz="4" w:space="0"/>
              <w:bottom w:val="single" w:color="auto" w:sz="4" w:space="0"/>
              <w:right w:val="single" w:color="auto" w:sz="4" w:space="0"/>
            </w:tcBorders>
            <w:shd w:val="clear" w:color="auto" w:fill="AACDEF"/>
            <w:tcMar>
              <w:top w:w="28" w:type="dxa"/>
              <w:left w:w="28" w:type="dxa"/>
              <w:bottom w:w="28" w:type="dxa"/>
              <w:right w:w="28" w:type="dxa"/>
            </w:tcMar>
            <w:vAlign w:val="center"/>
          </w:tcPr>
          <w:p>
            <w:pPr>
              <w:jc w:val="center"/>
              <w:rPr>
                <w:rFonts w:asciiTheme="minorEastAsia" w:hAnsiTheme="minorEastAsia" w:eastAsiaTheme="minorEastAsia"/>
                <w:bCs/>
                <w:sz w:val="24"/>
                <w:szCs w:val="24"/>
              </w:rPr>
            </w:pPr>
            <w:r>
              <w:rPr>
                <w:rFonts w:hint="eastAsia" w:asciiTheme="minorEastAsia" w:hAnsiTheme="minorEastAsia" w:eastAsiaTheme="minorEastAsia"/>
                <w:bCs/>
                <w:sz w:val="24"/>
                <w:szCs w:val="24"/>
              </w:rPr>
              <w:t>递交材料要求</w:t>
            </w:r>
          </w:p>
        </w:tc>
        <w:tc>
          <w:tcPr>
            <w:tcW w:w="7027" w:type="dxa"/>
            <w:tcBorders>
              <w:top w:val="single" w:color="auto" w:sz="4" w:space="0"/>
              <w:left w:val="single" w:color="auto" w:sz="4" w:space="0"/>
              <w:bottom w:val="single" w:color="auto" w:sz="4" w:space="0"/>
              <w:right w:val="single" w:color="auto" w:sz="4" w:space="0"/>
            </w:tcBorders>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授权委托书原件及被授权人身份证复印件（加盖投标人公章）、法定代表人证明书及法人身份证复印件（加盖投标人公章）、营业执照复印件（加盖投标人公章）。</w:t>
            </w:r>
          </w:p>
        </w:tc>
      </w:tr>
    </w:tbl>
    <w:p>
      <w:pPr>
        <w:rPr>
          <w:rFonts w:asciiTheme="minorEastAsia" w:hAnsiTheme="minorEastAsia" w:eastAsiaTheme="minorEastAsia"/>
          <w:b/>
          <w:sz w:val="24"/>
          <w:szCs w:val="24"/>
        </w:rPr>
      </w:pPr>
      <w:r>
        <w:rPr>
          <w:rFonts w:hint="eastAsia" w:asciiTheme="minorEastAsia" w:hAnsiTheme="minorEastAsia" w:eastAsiaTheme="minorEastAsia"/>
          <w:b/>
          <w:sz w:val="24"/>
          <w:szCs w:val="24"/>
        </w:rPr>
        <w:t>四、递交投标文件</w:t>
      </w:r>
    </w:p>
    <w:tbl>
      <w:tblPr>
        <w:tblStyle w:val="13"/>
        <w:tblpPr w:leftFromText="180" w:rightFromText="180" w:vertAnchor="text" w:tblpX="-50" w:tblpY="1"/>
        <w:tblOverlap w:val="never"/>
        <w:tblW w:w="9717" w:type="dxa"/>
        <w:tblCellSpacing w:w="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630"/>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0" w:hRule="atLeast"/>
          <w:tblCellSpacing w:w="20" w:type="dxa"/>
        </w:trPr>
        <w:tc>
          <w:tcPr>
            <w:tcW w:w="2570"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递交方式</w:t>
            </w:r>
          </w:p>
        </w:tc>
        <w:tc>
          <w:tcPr>
            <w:tcW w:w="7027" w:type="dxa"/>
            <w:shd w:val="clear" w:color="auto" w:fill="auto"/>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lang w:val="en-US"/>
              </w:rPr>
              <w:t>纸质开评标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20" w:type="dxa"/>
        </w:trPr>
        <w:tc>
          <w:tcPr>
            <w:tcW w:w="2570"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投标文件递交时间</w:t>
            </w:r>
          </w:p>
        </w:tc>
        <w:tc>
          <w:tcPr>
            <w:tcW w:w="7027" w:type="dxa"/>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2020年5月25日14时30分（北京时间）至2020年5月25日15时00分（北京时间）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8" w:hRule="atLeast"/>
          <w:tblCellSpacing w:w="20" w:type="dxa"/>
        </w:trPr>
        <w:tc>
          <w:tcPr>
            <w:tcW w:w="2570"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投标开始与截止时间</w:t>
            </w:r>
          </w:p>
        </w:tc>
        <w:tc>
          <w:tcPr>
            <w:tcW w:w="7027"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sz w:val="24"/>
                <w:szCs w:val="24"/>
              </w:rPr>
              <w:t>2020年5月25日15时00分（北京时间）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8" w:hRule="atLeast"/>
          <w:tblCellSpacing w:w="20" w:type="dxa"/>
        </w:trPr>
        <w:tc>
          <w:tcPr>
            <w:tcW w:w="2570"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开标时间</w:t>
            </w:r>
          </w:p>
        </w:tc>
        <w:tc>
          <w:tcPr>
            <w:tcW w:w="7027"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FF0000"/>
                <w:sz w:val="24"/>
                <w:szCs w:val="24"/>
              </w:rPr>
              <w:t>2020年5月25日15时00分（北京时间）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1" w:hRule="atLeast"/>
          <w:tblCellSpacing w:w="20" w:type="dxa"/>
        </w:trPr>
        <w:tc>
          <w:tcPr>
            <w:tcW w:w="2570"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投标与开标地点</w:t>
            </w:r>
          </w:p>
        </w:tc>
        <w:tc>
          <w:tcPr>
            <w:tcW w:w="7027"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深圳市光明区观光路2533号招商局光明科技园A3栋B单元8楼，光明区公共资源交易中心812开标室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53" w:hRule="atLeast"/>
          <w:tblCellSpacing w:w="20" w:type="dxa"/>
        </w:trPr>
        <w:tc>
          <w:tcPr>
            <w:tcW w:w="2570"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投标文件要求</w:t>
            </w:r>
          </w:p>
        </w:tc>
        <w:tc>
          <w:tcPr>
            <w:tcW w:w="7027"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开标一览表和投标文件（含正本和</w:t>
            </w:r>
            <w:bookmarkStart w:id="42" w:name="_GoBack"/>
            <w:bookmarkEnd w:id="42"/>
            <w:r>
              <w:rPr>
                <w:rFonts w:hint="eastAsia" w:asciiTheme="minorEastAsia" w:hAnsiTheme="minorEastAsia" w:eastAsiaTheme="minorEastAsia"/>
                <w:color w:val="000000"/>
                <w:sz w:val="24"/>
                <w:szCs w:val="24"/>
              </w:rPr>
              <w:t>副本）应分开独立密封包装且盖公章，否则将导致投标无效</w:t>
            </w:r>
          </w:p>
        </w:tc>
      </w:tr>
    </w:tbl>
    <w:p>
      <w:pPr>
        <w:rPr>
          <w:rFonts w:asciiTheme="minorEastAsia" w:hAnsiTheme="minorEastAsia" w:eastAsiaTheme="minorEastAsia"/>
          <w:b/>
          <w:sz w:val="24"/>
          <w:szCs w:val="24"/>
        </w:rPr>
      </w:pPr>
      <w:r>
        <w:rPr>
          <w:rFonts w:hint="eastAsia" w:asciiTheme="minorEastAsia" w:hAnsiTheme="minorEastAsia" w:eastAsiaTheme="minorEastAsia"/>
          <w:b/>
          <w:sz w:val="24"/>
          <w:szCs w:val="24"/>
        </w:rPr>
        <w:t>五、答疑事项</w:t>
      </w:r>
    </w:p>
    <w:tbl>
      <w:tblPr>
        <w:tblStyle w:val="13"/>
        <w:tblpPr w:leftFromText="180" w:rightFromText="180" w:vertAnchor="text" w:tblpX="-50" w:tblpY="1"/>
        <w:tblOverlap w:val="never"/>
        <w:tblW w:w="9717" w:type="dxa"/>
        <w:tblCellSpacing w:w="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630"/>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0" w:hRule="atLeast"/>
          <w:tblCellSpacing w:w="20" w:type="dxa"/>
        </w:trPr>
        <w:tc>
          <w:tcPr>
            <w:tcW w:w="2570"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答疑事项提出方式</w:t>
            </w:r>
          </w:p>
        </w:tc>
        <w:tc>
          <w:tcPr>
            <w:tcW w:w="7027" w:type="dxa"/>
            <w:shd w:val="clear" w:color="auto" w:fill="auto"/>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lang w:val="en-US"/>
              </w:rPr>
              <w:t>投标人如对本项目招标文件有任何疑问，包括认为招标文件的技术指标或参数存在排他性或歧视性条款等，以书面形式提交至招标人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20" w:type="dxa"/>
        </w:trPr>
        <w:tc>
          <w:tcPr>
            <w:tcW w:w="2570"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提出答疑截止时间</w:t>
            </w:r>
          </w:p>
        </w:tc>
        <w:tc>
          <w:tcPr>
            <w:tcW w:w="7027" w:type="dxa"/>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2020年5月17日18时前（北京时间）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8" w:hRule="atLeast"/>
          <w:tblCellSpacing w:w="20" w:type="dxa"/>
        </w:trPr>
        <w:tc>
          <w:tcPr>
            <w:tcW w:w="2570"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答疑集中回复时间</w:t>
            </w:r>
          </w:p>
        </w:tc>
        <w:tc>
          <w:tcPr>
            <w:tcW w:w="7027"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sz w:val="24"/>
                <w:szCs w:val="24"/>
              </w:rPr>
              <w:t>2020年5月18日18时前（北京时间）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8" w:hRule="atLeast"/>
          <w:tblCellSpacing w:w="20" w:type="dxa"/>
        </w:trPr>
        <w:tc>
          <w:tcPr>
            <w:tcW w:w="2570"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答疑集中回复形式</w:t>
            </w:r>
          </w:p>
        </w:tc>
        <w:tc>
          <w:tcPr>
            <w:tcW w:w="7027"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集中答疑结果及相关补充公共以网上公告方式答复各投标人</w:t>
            </w:r>
          </w:p>
        </w:tc>
      </w:tr>
    </w:tbl>
    <w:p>
      <w:pPr>
        <w:rPr>
          <w:rFonts w:asciiTheme="minorEastAsia" w:hAnsiTheme="minorEastAsia" w:eastAsiaTheme="minorEastAsia"/>
          <w:b/>
          <w:sz w:val="24"/>
          <w:szCs w:val="24"/>
        </w:rPr>
      </w:pPr>
      <w:r>
        <w:rPr>
          <w:rFonts w:hint="eastAsia" w:asciiTheme="minorEastAsia" w:hAnsiTheme="minorEastAsia" w:eastAsiaTheme="minorEastAsia"/>
          <w:b/>
          <w:sz w:val="24"/>
          <w:szCs w:val="24"/>
        </w:rPr>
        <w:t>六、联系方式</w:t>
      </w:r>
    </w:p>
    <w:tbl>
      <w:tblPr>
        <w:tblStyle w:val="13"/>
        <w:tblpPr w:leftFromText="180" w:rightFromText="180" w:vertAnchor="text" w:tblpX="-50" w:tblpY="1"/>
        <w:tblOverlap w:val="never"/>
        <w:tblW w:w="9717" w:type="dxa"/>
        <w:tblCellSpacing w:w="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630"/>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1" w:hRule="atLeast"/>
          <w:tblCellSpacing w:w="20" w:type="dxa"/>
        </w:trPr>
        <w:tc>
          <w:tcPr>
            <w:tcW w:w="2570"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招标人</w:t>
            </w:r>
          </w:p>
        </w:tc>
        <w:tc>
          <w:tcPr>
            <w:tcW w:w="7027" w:type="dxa"/>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深圳市公明田寮股份合作公司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44" w:hRule="atLeast"/>
          <w:tblCellSpacing w:w="20" w:type="dxa"/>
        </w:trPr>
        <w:tc>
          <w:tcPr>
            <w:tcW w:w="2570"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联系人</w:t>
            </w:r>
          </w:p>
        </w:tc>
        <w:tc>
          <w:tcPr>
            <w:tcW w:w="7027" w:type="dxa"/>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麦先生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2" w:hRule="atLeast"/>
          <w:tblCellSpacing w:w="20" w:type="dxa"/>
        </w:trPr>
        <w:tc>
          <w:tcPr>
            <w:tcW w:w="2570"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联系电话</w:t>
            </w:r>
          </w:p>
        </w:tc>
        <w:tc>
          <w:tcPr>
            <w:tcW w:w="7027" w:type="dxa"/>
            <w:tcMar>
              <w:top w:w="28" w:type="dxa"/>
              <w:left w:w="28" w:type="dxa"/>
              <w:bottom w:w="28" w:type="dxa"/>
              <w:right w:w="28" w:type="dxa"/>
            </w:tcMar>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color w:val="333333"/>
                <w:sz w:val="24"/>
                <w:szCs w:val="24"/>
                <w:shd w:val="clear" w:color="auto" w:fill="FFFFFF"/>
              </w:rPr>
              <w:t>13612868822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1" w:hRule="atLeast"/>
          <w:tblCellSpacing w:w="20" w:type="dxa"/>
        </w:trPr>
        <w:tc>
          <w:tcPr>
            <w:tcW w:w="2570"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联系地址</w:t>
            </w:r>
          </w:p>
        </w:tc>
        <w:tc>
          <w:tcPr>
            <w:tcW w:w="7027"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333333"/>
                <w:sz w:val="24"/>
                <w:szCs w:val="24"/>
                <w:shd w:val="clear" w:color="auto" w:fill="FFFFFF"/>
              </w:rPr>
              <w:t>深圳市光明区玉塘街道田寮社区警民路18号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1" w:hRule="atLeast"/>
          <w:tblCellSpacing w:w="20" w:type="dxa"/>
        </w:trPr>
        <w:tc>
          <w:tcPr>
            <w:tcW w:w="2570"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招标代理机构</w:t>
            </w:r>
          </w:p>
        </w:tc>
        <w:tc>
          <w:tcPr>
            <w:tcW w:w="7027"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深圳市万皓管理咨询有限公司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1" w:hRule="atLeast"/>
          <w:tblCellSpacing w:w="20" w:type="dxa"/>
        </w:trPr>
        <w:tc>
          <w:tcPr>
            <w:tcW w:w="2570"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联系人</w:t>
            </w:r>
          </w:p>
        </w:tc>
        <w:tc>
          <w:tcPr>
            <w:tcW w:w="7027"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洪工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1" w:hRule="atLeast"/>
          <w:tblCellSpacing w:w="20" w:type="dxa"/>
        </w:trPr>
        <w:tc>
          <w:tcPr>
            <w:tcW w:w="2570"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联系电话</w:t>
            </w:r>
          </w:p>
        </w:tc>
        <w:tc>
          <w:tcPr>
            <w:tcW w:w="7027"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13510953038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1" w:hRule="atLeast"/>
          <w:tblCellSpacing w:w="20" w:type="dxa"/>
        </w:trPr>
        <w:tc>
          <w:tcPr>
            <w:tcW w:w="2570" w:type="dxa"/>
            <w:shd w:val="clear" w:color="auto" w:fill="AACDEE"/>
            <w:tcMar>
              <w:top w:w="28" w:type="dxa"/>
              <w:left w:w="28" w:type="dxa"/>
              <w:bottom w:w="28" w:type="dxa"/>
              <w:right w:w="28" w:type="dxa"/>
            </w:tcMar>
            <w:vAlign w:val="center"/>
          </w:tcPr>
          <w:p>
            <w:pPr>
              <w:jc w:val="center"/>
              <w:rPr>
                <w:rFonts w:asciiTheme="minorEastAsia" w:hAnsiTheme="minorEastAsia" w:eastAsiaTheme="minorEastAsia"/>
                <w:sz w:val="24"/>
                <w:szCs w:val="24"/>
                <w:lang w:val="en-US"/>
              </w:rPr>
            </w:pPr>
            <w:r>
              <w:rPr>
                <w:rFonts w:hint="eastAsia" w:asciiTheme="minorEastAsia" w:hAnsiTheme="minorEastAsia" w:eastAsiaTheme="minorEastAsia"/>
                <w:sz w:val="24"/>
                <w:szCs w:val="24"/>
                <w:lang w:val="en-US"/>
              </w:rPr>
              <w:t>联系地址</w:t>
            </w:r>
          </w:p>
        </w:tc>
        <w:tc>
          <w:tcPr>
            <w:tcW w:w="7027" w:type="dxa"/>
            <w:tcMar>
              <w:top w:w="28" w:type="dxa"/>
              <w:left w:w="28" w:type="dxa"/>
              <w:bottom w:w="28" w:type="dxa"/>
              <w:right w:w="28" w:type="dxa"/>
            </w:tcMar>
            <w:vAlign w:val="center"/>
          </w:tcPr>
          <w:p>
            <w:pPr>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深圳市新安街道上合新福材料市场2栋210（兴东地铁站）</w:t>
            </w:r>
          </w:p>
        </w:tc>
      </w:tr>
    </w:tbl>
    <w:p>
      <w:pPr>
        <w:spacing w:before="17"/>
        <w:ind w:firstLine="562" w:firstLineChars="200"/>
        <w:rPr>
          <w:rFonts w:ascii="黑体" w:hAnsi="黑体" w:eastAsia="黑体"/>
          <w:b/>
          <w:sz w:val="28"/>
          <w:szCs w:val="28"/>
        </w:rPr>
      </w:pPr>
      <w:r>
        <w:rPr>
          <w:rFonts w:hint="eastAsia" w:ascii="黑体" w:hAnsi="黑体" w:eastAsia="黑体"/>
          <w:b/>
          <w:sz w:val="28"/>
          <w:szCs w:val="28"/>
        </w:rPr>
        <w:t>七、公告查询</w:t>
      </w:r>
    </w:p>
    <w:p>
      <w:pPr>
        <w:pStyle w:val="9"/>
        <w:tabs>
          <w:tab w:val="left" w:pos="3694"/>
          <w:tab w:val="left" w:pos="4219"/>
          <w:tab w:val="left" w:pos="5794"/>
          <w:tab w:val="left" w:pos="6319"/>
        </w:tabs>
        <w:spacing w:before="148" w:line="360" w:lineRule="auto"/>
        <w:ind w:right="412" w:firstLine="480" w:firstLineChars="200"/>
        <w:rPr>
          <w:rFonts w:asciiTheme="minorEastAsia" w:hAnsiTheme="minorEastAsia" w:eastAsiaTheme="minorEastAsia"/>
          <w:sz w:val="24"/>
          <w:szCs w:val="28"/>
        </w:rPr>
      </w:pPr>
      <w:r>
        <w:rPr>
          <w:rFonts w:hint="eastAsia" w:asciiTheme="minorEastAsia" w:hAnsiTheme="minorEastAsia" w:eastAsiaTheme="minorEastAsia"/>
          <w:sz w:val="24"/>
          <w:szCs w:val="28"/>
        </w:rPr>
        <w:t>光明区公共资源交易中心网站（</w:t>
      </w:r>
      <w:r>
        <w:fldChar w:fldCharType="begin"/>
      </w:r>
      <w:r>
        <w:instrText xml:space="preserve"> HYPERLINK "http://113.98.245.237:6888/" </w:instrText>
      </w:r>
      <w:r>
        <w:fldChar w:fldCharType="separate"/>
      </w:r>
      <w:r>
        <w:rPr>
          <w:sz w:val="24"/>
          <w:szCs w:val="28"/>
        </w:rPr>
        <w:t>http://113.98.245.237:6888/</w:t>
      </w:r>
      <w:r>
        <w:rPr>
          <w:sz w:val="24"/>
          <w:szCs w:val="28"/>
        </w:rPr>
        <w:fldChar w:fldCharType="end"/>
      </w:r>
      <w:r>
        <w:rPr>
          <w:rFonts w:hint="eastAsia" w:asciiTheme="minorEastAsia" w:hAnsiTheme="minorEastAsia" w:eastAsiaTheme="minorEastAsia"/>
          <w:sz w:val="24"/>
          <w:szCs w:val="28"/>
        </w:rPr>
        <w:t>）</w:t>
      </w:r>
    </w:p>
    <w:p>
      <w:pPr>
        <w:spacing w:before="17"/>
        <w:ind w:firstLine="562" w:firstLineChars="200"/>
        <w:rPr>
          <w:rFonts w:ascii="黑体" w:hAnsi="黑体" w:eastAsia="黑体"/>
          <w:b/>
          <w:sz w:val="28"/>
          <w:szCs w:val="28"/>
        </w:rPr>
      </w:pPr>
      <w:r>
        <w:rPr>
          <w:rFonts w:hint="eastAsia" w:ascii="黑体" w:hAnsi="黑体" w:eastAsia="黑体"/>
          <w:b/>
          <w:sz w:val="28"/>
          <w:szCs w:val="28"/>
        </w:rPr>
        <w:t>八、现场踏勘</w:t>
      </w:r>
    </w:p>
    <w:p>
      <w:pPr>
        <w:widowControl/>
        <w:shd w:val="clear" w:color="auto" w:fill="FFFFFF"/>
        <w:spacing w:line="420" w:lineRule="atLeast"/>
        <w:ind w:firstLine="480" w:firstLineChars="200"/>
        <w:rPr>
          <w:rFonts w:asciiTheme="minorEastAsia" w:hAnsiTheme="minorEastAsia" w:eastAsiaTheme="minorEastAsia"/>
          <w:sz w:val="24"/>
          <w:szCs w:val="28"/>
        </w:rPr>
      </w:pPr>
      <w:r>
        <w:rPr>
          <w:rFonts w:hint="eastAsia" w:asciiTheme="minorEastAsia" w:hAnsiTheme="minorEastAsia" w:eastAsiaTheme="minorEastAsia"/>
          <w:sz w:val="24"/>
          <w:szCs w:val="28"/>
        </w:rPr>
        <w:t>现场踏勘</w:t>
      </w:r>
      <w:r>
        <w:rPr>
          <w:rFonts w:asciiTheme="minorEastAsia" w:hAnsiTheme="minorEastAsia" w:eastAsiaTheme="minorEastAsia"/>
          <w:sz w:val="24"/>
          <w:szCs w:val="28"/>
        </w:rPr>
        <w:t>：</w:t>
      </w:r>
      <w:r>
        <w:rPr>
          <w:rFonts w:hint="eastAsia" w:asciiTheme="minorEastAsia" w:hAnsiTheme="minorEastAsia" w:eastAsiaTheme="minorEastAsia"/>
          <w:sz w:val="24"/>
          <w:szCs w:val="28"/>
        </w:rPr>
        <w:t>无</w:t>
      </w:r>
    </w:p>
    <w:p>
      <w:pPr>
        <w:spacing w:before="17"/>
        <w:ind w:firstLine="562" w:firstLineChars="200"/>
        <w:rPr>
          <w:rFonts w:ascii="黑体" w:hAnsi="黑体" w:eastAsia="黑体"/>
          <w:b/>
          <w:sz w:val="28"/>
          <w:szCs w:val="28"/>
        </w:rPr>
      </w:pPr>
      <w:r>
        <w:rPr>
          <w:rFonts w:hint="eastAsia" w:ascii="黑体" w:hAnsi="黑体" w:eastAsia="黑体"/>
          <w:b/>
          <w:sz w:val="28"/>
          <w:szCs w:val="28"/>
        </w:rPr>
        <w:t>九、入驻前置评估告知</w:t>
      </w:r>
    </w:p>
    <w:p>
      <w:pPr>
        <w:ind w:firstLine="600" w:firstLineChars="250"/>
        <w:rPr>
          <w:rFonts w:asciiTheme="minorEastAsia" w:hAnsiTheme="minorEastAsia" w:eastAsiaTheme="minorEastAsia"/>
          <w:sz w:val="24"/>
          <w:szCs w:val="24"/>
        </w:rPr>
      </w:pPr>
      <w:r>
        <w:rPr>
          <w:rFonts w:hint="eastAsia" w:asciiTheme="minorEastAsia" w:hAnsiTheme="minorEastAsia" w:eastAsiaTheme="minorEastAsia"/>
          <w:sz w:val="24"/>
          <w:szCs w:val="24"/>
        </w:rPr>
        <w:t>本项目涉及厂房、宿舍或相关配套办公用房，根据《光明区产业空间管理暂行办法》（深光府规〔</w:t>
      </w:r>
      <w:r>
        <w:rPr>
          <w:rFonts w:asciiTheme="minorEastAsia" w:hAnsiTheme="minorEastAsia" w:eastAsiaTheme="minorEastAsia"/>
          <w:sz w:val="24"/>
          <w:szCs w:val="24"/>
        </w:rPr>
        <w:t>2019〕11号）第十二条规定，区工业和信息化局、市生态环境局光明管理局、区应急管理局自收到拟入驻企业信息后，3个工作日内对拟入驻企业进行评估，评估符合标准的拟入驻企业方可入驻。其中，对在区“三资”交易平台交易的集体物业，评估符合标准的方可参与投标。</w:t>
      </w:r>
    </w:p>
    <w:p>
      <w:pPr>
        <w:ind w:firstLine="600" w:firstLineChars="250"/>
        <w:rPr>
          <w:rFonts w:asciiTheme="minorEastAsia" w:hAnsiTheme="minorEastAsia" w:eastAsiaTheme="minorEastAsia"/>
          <w:sz w:val="24"/>
          <w:szCs w:val="24"/>
        </w:rPr>
      </w:pPr>
      <w:r>
        <w:rPr>
          <w:rFonts w:hint="eastAsia" w:asciiTheme="minorEastAsia" w:hAnsiTheme="minorEastAsia" w:eastAsiaTheme="minorEastAsia"/>
          <w:sz w:val="24"/>
          <w:szCs w:val="24"/>
        </w:rPr>
        <w:t>有投标意向的意向方，须在投标报名截止时间前通过在“光明招商网</w:t>
      </w:r>
      <w:r>
        <w:fldChar w:fldCharType="begin"/>
      </w:r>
      <w:r>
        <w:instrText xml:space="preserve"> HYPERLINK "http://www.gmcyzs.com/" </w:instrText>
      </w:r>
      <w:r>
        <w:fldChar w:fldCharType="separate"/>
      </w:r>
      <w:r>
        <w:rPr>
          <w:rStyle w:val="16"/>
          <w:rFonts w:asciiTheme="minorEastAsia" w:hAnsiTheme="minorEastAsia" w:eastAsiaTheme="minorEastAsia"/>
          <w:sz w:val="24"/>
          <w:szCs w:val="24"/>
        </w:rPr>
        <w:t>http://www.gmcyzs.com/</w:t>
      </w:r>
      <w:r>
        <w:rPr>
          <w:rStyle w:val="16"/>
          <w:rFonts w:asciiTheme="minorEastAsia" w:hAnsiTheme="minorEastAsia" w:eastAsiaTheme="minorEastAsia"/>
          <w:sz w:val="24"/>
          <w:szCs w:val="24"/>
        </w:rPr>
        <w:fldChar w:fldCharType="end"/>
      </w:r>
      <w:r>
        <w:rPr>
          <w:rFonts w:hint="eastAsia" w:asciiTheme="minorEastAsia" w:hAnsiTheme="minorEastAsia" w:eastAsiaTheme="minorEastAsia"/>
          <w:sz w:val="24"/>
          <w:szCs w:val="24"/>
        </w:rPr>
        <w:t>注册登录个人中心，选择 “集体物业招标登记”-“招投标企业前置评估”自行完成信息填报</w:t>
      </w:r>
      <w:r>
        <w:rPr>
          <w:rFonts w:asciiTheme="minorEastAsia" w:hAnsiTheme="minorEastAsia" w:eastAsiaTheme="minorEastAsia"/>
          <w:sz w:val="24"/>
          <w:szCs w:val="24"/>
        </w:rPr>
        <w:t>，</w:t>
      </w:r>
      <w:r>
        <w:rPr>
          <w:rFonts w:hint="eastAsia" w:asciiTheme="minorEastAsia" w:hAnsiTheme="minorEastAsia" w:eastAsiaTheme="minorEastAsia"/>
          <w:sz w:val="24"/>
          <w:szCs w:val="24"/>
        </w:rPr>
        <w:t>并告知区工业和信息化局进行评估，</w:t>
      </w:r>
      <w:r>
        <w:rPr>
          <w:rFonts w:asciiTheme="minorEastAsia" w:hAnsiTheme="minorEastAsia" w:eastAsiaTheme="minorEastAsia"/>
          <w:sz w:val="24"/>
          <w:szCs w:val="24"/>
        </w:rPr>
        <w:t>咨询方式：详见光明招商网或QQ群743330588</w:t>
      </w:r>
      <w:r>
        <w:rPr>
          <w:rFonts w:hint="eastAsia" w:asciiTheme="minorEastAsia" w:hAnsiTheme="minorEastAsia" w:eastAsiaTheme="minorEastAsia"/>
          <w:sz w:val="24"/>
          <w:szCs w:val="24"/>
        </w:rPr>
        <w:t>。</w:t>
      </w:r>
    </w:p>
    <w:p>
      <w:pPr>
        <w:ind w:firstLine="600" w:firstLineChars="250"/>
        <w:rPr>
          <w:rFonts w:asciiTheme="minorEastAsia" w:hAnsiTheme="minorEastAsia" w:eastAsiaTheme="minorEastAsia"/>
          <w:sz w:val="24"/>
          <w:szCs w:val="24"/>
        </w:rPr>
      </w:pPr>
      <w:r>
        <w:rPr>
          <w:rFonts w:hint="eastAsia" w:asciiTheme="minorEastAsia" w:hAnsiTheme="minorEastAsia" w:eastAsiaTheme="minorEastAsia"/>
          <w:sz w:val="24"/>
          <w:szCs w:val="24"/>
        </w:rPr>
        <w:t>意向方应注意填报的信息要准确无误，因填报失误导致评估失败的而不能参与投标的，后果自行负责。产业评估结果咨询：环保评估咨询：</w:t>
      </w:r>
      <w:r>
        <w:rPr>
          <w:rFonts w:asciiTheme="minorEastAsia" w:hAnsiTheme="minorEastAsia" w:eastAsiaTheme="minorEastAsia"/>
          <w:sz w:val="24"/>
          <w:szCs w:val="24"/>
        </w:rPr>
        <w:t>0755-27402234</w:t>
      </w:r>
      <w:r>
        <w:rPr>
          <w:rFonts w:hint="eastAsia" w:asciiTheme="minorEastAsia" w:hAnsiTheme="minorEastAsia" w:eastAsiaTheme="minorEastAsia"/>
          <w:sz w:val="24"/>
          <w:szCs w:val="24"/>
        </w:rPr>
        <w:t>、安监评估咨询：</w:t>
      </w:r>
      <w:r>
        <w:rPr>
          <w:rFonts w:asciiTheme="minorEastAsia" w:hAnsiTheme="minorEastAsia" w:eastAsiaTheme="minorEastAsia"/>
          <w:sz w:val="24"/>
          <w:szCs w:val="24"/>
        </w:rPr>
        <w:t>0755-88212352</w:t>
      </w:r>
      <w:r>
        <w:rPr>
          <w:rFonts w:hint="eastAsia" w:asciiTheme="minorEastAsia" w:hAnsiTheme="minorEastAsia" w:eastAsiaTheme="minorEastAsia"/>
          <w:sz w:val="24"/>
          <w:szCs w:val="24"/>
        </w:rPr>
        <w:t>、工信评估咨询：</w:t>
      </w:r>
      <w:r>
        <w:rPr>
          <w:rFonts w:asciiTheme="minorEastAsia" w:hAnsiTheme="minorEastAsia" w:eastAsiaTheme="minorEastAsia"/>
          <w:sz w:val="24"/>
          <w:szCs w:val="24"/>
        </w:rPr>
        <w:t>0755-88210452</w:t>
      </w:r>
      <w:r>
        <w:rPr>
          <w:rFonts w:hint="eastAsia" w:asciiTheme="minorEastAsia" w:hAnsiTheme="minorEastAsia" w:eastAsiaTheme="minorEastAsia"/>
          <w:sz w:val="24"/>
          <w:szCs w:val="24"/>
        </w:rPr>
        <w:t>。</w:t>
      </w:r>
    </w:p>
    <w:p>
      <w:pPr>
        <w:spacing w:before="17"/>
        <w:ind w:firstLine="562" w:firstLineChars="200"/>
        <w:rPr>
          <w:rFonts w:ascii="黑体" w:hAnsi="黑体" w:eastAsia="黑体"/>
          <w:b/>
          <w:sz w:val="28"/>
          <w:szCs w:val="28"/>
        </w:rPr>
      </w:pPr>
      <w:r>
        <w:rPr>
          <w:rFonts w:hint="eastAsia" w:ascii="黑体" w:hAnsi="黑体" w:eastAsia="黑体"/>
          <w:b/>
          <w:sz w:val="28"/>
          <w:szCs w:val="28"/>
        </w:rPr>
        <w:t>十、投标保证金</w:t>
      </w:r>
    </w:p>
    <w:p>
      <w:pPr>
        <w:spacing w:before="4" w:line="242" w:lineRule="auto"/>
        <w:ind w:right="533" w:firstLine="480" w:firstLineChars="200"/>
        <w:rPr>
          <w:sz w:val="24"/>
          <w:szCs w:val="24"/>
        </w:rPr>
      </w:pPr>
      <w:r>
        <w:rPr>
          <w:sz w:val="24"/>
          <w:szCs w:val="24"/>
        </w:rPr>
        <w:t>保证金缴纳时间：</w:t>
      </w:r>
      <w:r>
        <w:rPr>
          <w:rFonts w:hint="eastAsia"/>
          <w:sz w:val="24"/>
          <w:szCs w:val="24"/>
        </w:rPr>
        <w:t>2020</w:t>
      </w:r>
      <w:r>
        <w:rPr>
          <w:sz w:val="24"/>
          <w:szCs w:val="24"/>
        </w:rPr>
        <w:t>年</w:t>
      </w:r>
      <w:r>
        <w:rPr>
          <w:rFonts w:hint="eastAsia"/>
          <w:sz w:val="24"/>
          <w:szCs w:val="24"/>
        </w:rPr>
        <w:t>5</w:t>
      </w:r>
      <w:r>
        <w:rPr>
          <w:sz w:val="24"/>
          <w:szCs w:val="24"/>
        </w:rPr>
        <w:t>月</w:t>
      </w:r>
      <w:r>
        <w:rPr>
          <w:rFonts w:hint="eastAsia"/>
          <w:sz w:val="24"/>
          <w:szCs w:val="24"/>
        </w:rPr>
        <w:t>8</w:t>
      </w:r>
      <w:r>
        <w:rPr>
          <w:sz w:val="24"/>
          <w:szCs w:val="24"/>
        </w:rPr>
        <w:t>日</w:t>
      </w:r>
      <w:r>
        <w:rPr>
          <w:rFonts w:hint="eastAsia"/>
          <w:sz w:val="24"/>
          <w:szCs w:val="24"/>
        </w:rPr>
        <w:t>18时</w:t>
      </w:r>
      <w:r>
        <w:rPr>
          <w:sz w:val="24"/>
          <w:szCs w:val="24"/>
        </w:rPr>
        <w:t>至</w:t>
      </w:r>
      <w:r>
        <w:rPr>
          <w:rFonts w:hint="eastAsia"/>
          <w:sz w:val="24"/>
          <w:szCs w:val="24"/>
        </w:rPr>
        <w:t>2020</w:t>
      </w:r>
      <w:r>
        <w:rPr>
          <w:sz w:val="24"/>
          <w:szCs w:val="24"/>
        </w:rPr>
        <w:t>年</w:t>
      </w:r>
      <w:r>
        <w:rPr>
          <w:rFonts w:hint="eastAsia"/>
          <w:sz w:val="24"/>
          <w:szCs w:val="24"/>
        </w:rPr>
        <w:t>5</w:t>
      </w:r>
      <w:r>
        <w:rPr>
          <w:sz w:val="24"/>
          <w:szCs w:val="24"/>
        </w:rPr>
        <w:t>月</w:t>
      </w:r>
      <w:r>
        <w:rPr>
          <w:rFonts w:hint="eastAsia"/>
          <w:sz w:val="24"/>
          <w:szCs w:val="24"/>
        </w:rPr>
        <w:t>19</w:t>
      </w:r>
      <w:r>
        <w:rPr>
          <w:sz w:val="24"/>
          <w:szCs w:val="24"/>
        </w:rPr>
        <w:t>日</w:t>
      </w:r>
      <w:r>
        <w:rPr>
          <w:rFonts w:hint="eastAsia"/>
          <w:sz w:val="24"/>
          <w:szCs w:val="24"/>
        </w:rPr>
        <w:t>18时</w:t>
      </w:r>
      <w:r>
        <w:rPr>
          <w:sz w:val="24"/>
          <w:szCs w:val="24"/>
        </w:rPr>
        <w:t>；</w:t>
      </w:r>
    </w:p>
    <w:p>
      <w:pPr>
        <w:spacing w:before="4" w:line="242" w:lineRule="auto"/>
        <w:ind w:right="533" w:firstLine="480" w:firstLineChars="200"/>
        <w:rPr>
          <w:sz w:val="24"/>
          <w:szCs w:val="24"/>
        </w:rPr>
      </w:pPr>
      <w:r>
        <w:rPr>
          <w:sz w:val="24"/>
          <w:szCs w:val="24"/>
        </w:rPr>
        <w:t>金额：人民币￥</w:t>
      </w:r>
      <w:r>
        <w:rPr>
          <w:rFonts w:hint="eastAsia"/>
          <w:sz w:val="24"/>
          <w:szCs w:val="24"/>
        </w:rPr>
        <w:t>50000.00</w:t>
      </w:r>
      <w:r>
        <w:rPr>
          <w:sz w:val="24"/>
          <w:szCs w:val="24"/>
        </w:rPr>
        <w:t>元；</w:t>
      </w:r>
    </w:p>
    <w:p>
      <w:pPr>
        <w:spacing w:before="4" w:line="242" w:lineRule="auto"/>
        <w:ind w:right="533" w:firstLine="480" w:firstLineChars="200"/>
        <w:rPr>
          <w:sz w:val="24"/>
          <w:szCs w:val="24"/>
        </w:rPr>
      </w:pPr>
      <w:r>
        <w:rPr>
          <w:rFonts w:hint="eastAsia"/>
          <w:sz w:val="24"/>
          <w:szCs w:val="24"/>
        </w:rPr>
        <w:t>大写：人民币：伍万元整；</w:t>
      </w:r>
    </w:p>
    <w:p>
      <w:pPr>
        <w:spacing w:before="4" w:line="242" w:lineRule="auto"/>
        <w:ind w:right="533" w:firstLine="480" w:firstLineChars="200"/>
        <w:rPr>
          <w:sz w:val="24"/>
          <w:szCs w:val="24"/>
        </w:rPr>
      </w:pPr>
      <w:r>
        <w:rPr>
          <w:sz w:val="24"/>
          <w:szCs w:val="24"/>
        </w:rPr>
        <w:t>账号：</w:t>
      </w:r>
      <w:r>
        <w:rPr>
          <w:rFonts w:hint="eastAsia"/>
          <w:color w:val="333333"/>
          <w:sz w:val="24"/>
          <w:szCs w:val="24"/>
        </w:rPr>
        <w:t>44250100008100001011</w:t>
      </w:r>
    </w:p>
    <w:p>
      <w:pPr>
        <w:spacing w:before="4" w:line="242" w:lineRule="auto"/>
        <w:ind w:right="533" w:firstLine="480" w:firstLineChars="200"/>
        <w:rPr>
          <w:sz w:val="24"/>
          <w:szCs w:val="24"/>
        </w:rPr>
      </w:pPr>
      <w:r>
        <w:rPr>
          <w:sz w:val="24"/>
          <w:szCs w:val="24"/>
        </w:rPr>
        <w:t>户名：</w:t>
      </w:r>
      <w:r>
        <w:rPr>
          <w:rFonts w:hint="eastAsia"/>
          <w:color w:val="333333"/>
          <w:sz w:val="24"/>
          <w:szCs w:val="24"/>
        </w:rPr>
        <w:t>深圳市万皓管理咨询有限公司</w:t>
      </w:r>
    </w:p>
    <w:p>
      <w:pPr>
        <w:spacing w:before="4" w:line="242" w:lineRule="auto"/>
        <w:ind w:right="533" w:firstLine="480" w:firstLineChars="200"/>
        <w:rPr>
          <w:sz w:val="24"/>
          <w:szCs w:val="24"/>
        </w:rPr>
      </w:pPr>
      <w:r>
        <w:rPr>
          <w:sz w:val="24"/>
          <w:szCs w:val="24"/>
        </w:rPr>
        <w:t>开户行：</w:t>
      </w:r>
      <w:r>
        <w:rPr>
          <w:rFonts w:hint="eastAsia"/>
          <w:color w:val="333333"/>
          <w:sz w:val="24"/>
          <w:szCs w:val="24"/>
        </w:rPr>
        <w:t>中国建设银行深圳创业支行</w:t>
      </w:r>
    </w:p>
    <w:p>
      <w:pPr>
        <w:spacing w:before="4" w:line="242" w:lineRule="auto"/>
        <w:ind w:right="533" w:firstLine="480" w:firstLineChars="200"/>
        <w:rPr>
          <w:sz w:val="24"/>
          <w:szCs w:val="24"/>
        </w:rPr>
      </w:pPr>
      <w:r>
        <w:rPr>
          <w:sz w:val="24"/>
          <w:szCs w:val="24"/>
        </w:rPr>
        <w:t>附件：招标文件</w:t>
      </w:r>
    </w:p>
    <w:p>
      <w:pPr>
        <w:spacing w:before="66"/>
        <w:ind w:right="140"/>
        <w:jc w:val="right"/>
        <w:rPr>
          <w:sz w:val="24"/>
          <w:szCs w:val="24"/>
          <w:lang w:val="en-US"/>
        </w:rPr>
      </w:pPr>
      <w:r>
        <w:rPr>
          <w:rFonts w:hint="eastAsia"/>
          <w:color w:val="333333"/>
          <w:sz w:val="24"/>
          <w:szCs w:val="24"/>
        </w:rPr>
        <w:t>深圳市公明田寮股份合作公司</w:t>
      </w:r>
      <w:r>
        <w:rPr>
          <w:rFonts w:hint="eastAsia"/>
          <w:color w:val="333333"/>
          <w:sz w:val="24"/>
          <w:szCs w:val="24"/>
          <w:lang w:val="en-US"/>
        </w:rPr>
        <w:t xml:space="preserve">     </w:t>
      </w:r>
    </w:p>
    <w:p>
      <w:pPr>
        <w:wordWrap w:val="0"/>
        <w:ind w:right="480"/>
        <w:jc w:val="right"/>
        <w:rPr>
          <w:color w:val="333333"/>
          <w:sz w:val="24"/>
          <w:szCs w:val="24"/>
        </w:rPr>
      </w:pPr>
      <w:r>
        <w:rPr>
          <w:rFonts w:hint="eastAsia"/>
          <w:color w:val="333333"/>
          <w:sz w:val="24"/>
          <w:szCs w:val="24"/>
        </w:rPr>
        <w:t xml:space="preserve">2020年5月8日    </w:t>
      </w:r>
    </w:p>
    <w:p>
      <w:pPr>
        <w:jc w:val="right"/>
        <w:rPr>
          <w:color w:val="333333"/>
          <w:sz w:val="24"/>
        </w:rPr>
      </w:pPr>
    </w:p>
    <w:p>
      <w:pPr>
        <w:jc w:val="right"/>
        <w:rPr>
          <w:color w:val="333333"/>
          <w:sz w:val="24"/>
        </w:rPr>
      </w:pPr>
      <w:r>
        <w:rPr>
          <w:color w:val="333333"/>
          <w:sz w:val="24"/>
        </w:rPr>
        <w:br w:type="page"/>
      </w:r>
    </w:p>
    <w:p>
      <w:pPr>
        <w:jc w:val="right"/>
        <w:rPr>
          <w:sz w:val="24"/>
          <w:lang w:val="en-US"/>
        </w:rPr>
      </w:pPr>
      <w:r>
        <w:rPr>
          <w:rFonts w:hint="eastAsia"/>
          <w:color w:val="333333"/>
          <w:sz w:val="24"/>
          <w:lang w:val="en-US"/>
        </w:rPr>
        <w:t xml:space="preserve">    </w:t>
      </w:r>
    </w:p>
    <w:p>
      <w:pPr>
        <w:pStyle w:val="4"/>
        <w:tabs>
          <w:tab w:val="left" w:pos="962"/>
        </w:tabs>
        <w:spacing w:before="1"/>
        <w:ind w:left="0" w:right="375"/>
        <w:jc w:val="center"/>
        <w:rPr>
          <w:rFonts w:ascii="黑体" w:hAnsi="黑体" w:eastAsia="黑体"/>
          <w:sz w:val="36"/>
          <w:szCs w:val="36"/>
        </w:rPr>
      </w:pPr>
      <w:bookmarkStart w:id="7" w:name="第二章__招标项目需求"/>
      <w:bookmarkEnd w:id="7"/>
      <w:r>
        <w:rPr>
          <w:rFonts w:ascii="黑体" w:hAnsi="黑体" w:eastAsia="黑体"/>
          <w:sz w:val="36"/>
          <w:szCs w:val="36"/>
        </w:rPr>
        <w:t>第二章</w:t>
      </w:r>
      <w:r>
        <w:rPr>
          <w:rFonts w:ascii="黑体" w:hAnsi="黑体" w:eastAsia="黑体"/>
          <w:sz w:val="36"/>
          <w:szCs w:val="36"/>
        </w:rPr>
        <w:tab/>
      </w:r>
      <w:r>
        <w:rPr>
          <w:rFonts w:ascii="黑体" w:hAnsi="黑体" w:eastAsia="黑体"/>
          <w:sz w:val="36"/>
          <w:szCs w:val="36"/>
        </w:rPr>
        <w:t>招标项目需求</w:t>
      </w:r>
    </w:p>
    <w:p>
      <w:pPr>
        <w:pStyle w:val="9"/>
        <w:spacing w:before="4"/>
        <w:rPr>
          <w:b/>
          <w:sz w:val="30"/>
        </w:rPr>
      </w:pPr>
    </w:p>
    <w:p>
      <w:pPr>
        <w:pStyle w:val="5"/>
        <w:ind w:left="0" w:firstLine="643" w:firstLineChars="200"/>
        <w:rPr>
          <w:rFonts w:ascii="黑体" w:hAnsi="黑体" w:eastAsia="黑体"/>
          <w:sz w:val="32"/>
          <w:szCs w:val="32"/>
        </w:rPr>
      </w:pPr>
      <w:bookmarkStart w:id="8" w:name="一、投标人须知前附表"/>
      <w:bookmarkEnd w:id="8"/>
      <w:r>
        <w:rPr>
          <w:rFonts w:ascii="黑体" w:hAnsi="黑体" w:eastAsia="黑体"/>
          <w:sz w:val="32"/>
          <w:szCs w:val="32"/>
        </w:rPr>
        <w:t>一、投标人须知前附表</w:t>
      </w:r>
    </w:p>
    <w:p>
      <w:pPr>
        <w:pStyle w:val="9"/>
        <w:spacing w:before="6"/>
        <w:rPr>
          <w:b/>
          <w:sz w:val="24"/>
        </w:rPr>
      </w:pPr>
    </w:p>
    <w:p>
      <w:pPr>
        <w:pStyle w:val="18"/>
        <w:numPr>
          <w:ilvl w:val="0"/>
          <w:numId w:val="2"/>
        </w:numPr>
        <w:tabs>
          <w:tab w:val="left" w:pos="1160"/>
        </w:tabs>
        <w:spacing w:before="1" w:line="362" w:lineRule="auto"/>
        <w:ind w:right="926"/>
        <w:rPr>
          <w:sz w:val="21"/>
        </w:rPr>
      </w:pPr>
      <w:r>
        <w:rPr>
          <w:sz w:val="21"/>
        </w:rPr>
        <w:t>本表是关于招标项目的具体资料，是对第一章的具体补充和修改，如有矛盾，应以本表为准。</w:t>
      </w:r>
    </w:p>
    <w:p>
      <w:pPr>
        <w:pStyle w:val="18"/>
        <w:numPr>
          <w:ilvl w:val="0"/>
          <w:numId w:val="2"/>
        </w:numPr>
        <w:tabs>
          <w:tab w:val="left" w:pos="1160"/>
        </w:tabs>
        <w:spacing w:before="3"/>
        <w:rPr>
          <w:sz w:val="21"/>
        </w:rPr>
      </w:pPr>
      <w:r>
        <w:rPr>
          <w:sz w:val="21"/>
        </w:rPr>
        <w:t>本文所示时间均为北京时间，无特别注明均指工作时间。</w:t>
      </w:r>
    </w:p>
    <w:p>
      <w:pPr>
        <w:pStyle w:val="9"/>
        <w:spacing w:before="6" w:after="1"/>
        <w:rPr>
          <w:sz w:val="11"/>
        </w:rPr>
      </w:pPr>
    </w:p>
    <w:tbl>
      <w:tblPr>
        <w:tblStyle w:val="13"/>
        <w:tblW w:w="8507" w:type="dxa"/>
        <w:jc w:val="center"/>
        <w:tblInd w:w="0" w:type="dxa"/>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
      <w:tblGrid>
        <w:gridCol w:w="807"/>
        <w:gridCol w:w="2160"/>
        <w:gridCol w:w="5540"/>
      </w:tblGrid>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462" w:hRule="atLeast"/>
          <w:jc w:val="center"/>
        </w:trPr>
        <w:tc>
          <w:tcPr>
            <w:tcW w:w="807" w:type="dxa"/>
            <w:tcBorders>
              <w:bottom w:val="single" w:color="000000" w:sz="6" w:space="0"/>
              <w:right w:val="single" w:color="000000" w:sz="6" w:space="0"/>
            </w:tcBorders>
            <w:vAlign w:val="center"/>
          </w:tcPr>
          <w:p>
            <w:pPr>
              <w:pStyle w:val="19"/>
              <w:spacing w:before="96"/>
              <w:ind w:left="161" w:right="161"/>
              <w:jc w:val="both"/>
              <w:rPr>
                <w:b/>
                <w:sz w:val="21"/>
              </w:rPr>
            </w:pPr>
            <w:r>
              <w:rPr>
                <w:b/>
                <w:sz w:val="21"/>
              </w:rPr>
              <w:t>序号</w:t>
            </w:r>
          </w:p>
        </w:tc>
        <w:tc>
          <w:tcPr>
            <w:tcW w:w="2160" w:type="dxa"/>
            <w:tcBorders>
              <w:left w:val="single" w:color="000000" w:sz="6" w:space="0"/>
              <w:bottom w:val="single" w:color="000000" w:sz="6" w:space="0"/>
              <w:right w:val="single" w:color="000000" w:sz="6" w:space="0"/>
            </w:tcBorders>
            <w:vAlign w:val="center"/>
          </w:tcPr>
          <w:p>
            <w:pPr>
              <w:pStyle w:val="19"/>
              <w:spacing w:before="96"/>
              <w:ind w:left="209" w:right="202"/>
              <w:jc w:val="center"/>
              <w:rPr>
                <w:b/>
                <w:sz w:val="21"/>
              </w:rPr>
            </w:pPr>
            <w:r>
              <w:rPr>
                <w:b/>
                <w:sz w:val="21"/>
              </w:rPr>
              <w:t>类别</w:t>
            </w:r>
          </w:p>
        </w:tc>
        <w:tc>
          <w:tcPr>
            <w:tcW w:w="5540" w:type="dxa"/>
            <w:tcBorders>
              <w:left w:val="single" w:color="000000" w:sz="6" w:space="0"/>
              <w:bottom w:val="single" w:color="000000" w:sz="6" w:space="0"/>
            </w:tcBorders>
            <w:vAlign w:val="center"/>
          </w:tcPr>
          <w:p>
            <w:pPr>
              <w:pStyle w:val="19"/>
              <w:tabs>
                <w:tab w:val="left" w:pos="542"/>
              </w:tabs>
              <w:spacing w:before="96"/>
              <w:ind w:left="16"/>
              <w:jc w:val="center"/>
              <w:rPr>
                <w:b/>
                <w:sz w:val="21"/>
              </w:rPr>
            </w:pPr>
            <w:r>
              <w:rPr>
                <w:b/>
                <w:sz w:val="21"/>
              </w:rPr>
              <w:t>内</w:t>
            </w:r>
            <w:r>
              <w:rPr>
                <w:b/>
                <w:sz w:val="21"/>
              </w:rPr>
              <w:tab/>
            </w:r>
            <w:r>
              <w:rPr>
                <w:b/>
                <w:sz w:val="21"/>
              </w:rPr>
              <w:t>容</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461" w:hRule="atLeast"/>
          <w:jc w:val="center"/>
        </w:trPr>
        <w:tc>
          <w:tcPr>
            <w:tcW w:w="807" w:type="dxa"/>
            <w:tcBorders>
              <w:top w:val="single" w:color="000000" w:sz="6" w:space="0"/>
              <w:bottom w:val="single" w:color="000000" w:sz="6" w:space="0"/>
              <w:right w:val="single" w:color="000000" w:sz="6" w:space="0"/>
            </w:tcBorders>
            <w:vAlign w:val="center"/>
          </w:tcPr>
          <w:p>
            <w:pPr>
              <w:pStyle w:val="19"/>
              <w:spacing w:before="94"/>
              <w:ind w:left="1"/>
              <w:jc w:val="center"/>
              <w:rPr>
                <w:sz w:val="24"/>
                <w:szCs w:val="24"/>
              </w:rPr>
            </w:pPr>
            <w:r>
              <w:rPr>
                <w:w w:val="99"/>
                <w:sz w:val="24"/>
                <w:szCs w:val="24"/>
              </w:rPr>
              <w:t>1</w:t>
            </w:r>
          </w:p>
        </w:tc>
        <w:tc>
          <w:tcPr>
            <w:tcW w:w="2160" w:type="dxa"/>
            <w:tcBorders>
              <w:top w:val="single" w:color="000000" w:sz="6" w:space="0"/>
              <w:left w:val="single" w:color="000000" w:sz="6" w:space="0"/>
              <w:bottom w:val="single" w:color="000000" w:sz="6" w:space="0"/>
              <w:right w:val="single" w:color="000000" w:sz="6" w:space="0"/>
            </w:tcBorders>
            <w:vAlign w:val="center"/>
          </w:tcPr>
          <w:p>
            <w:pPr>
              <w:jc w:val="center"/>
            </w:pPr>
            <w:r>
              <w:t>招标人</w:t>
            </w:r>
          </w:p>
        </w:tc>
        <w:tc>
          <w:tcPr>
            <w:tcW w:w="5540" w:type="dxa"/>
            <w:tcBorders>
              <w:top w:val="single" w:color="000000" w:sz="6" w:space="0"/>
              <w:left w:val="single" w:color="000000" w:sz="6" w:space="0"/>
              <w:bottom w:val="single" w:color="000000" w:sz="6" w:space="0"/>
            </w:tcBorders>
            <w:vAlign w:val="center"/>
          </w:tcPr>
          <w:p>
            <w:r>
              <w:rPr>
                <w:rFonts w:hint="eastAsia"/>
              </w:rPr>
              <w:t>深圳市公明田寮股份合作公司</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462" w:hRule="atLeast"/>
          <w:jc w:val="center"/>
        </w:trPr>
        <w:tc>
          <w:tcPr>
            <w:tcW w:w="807" w:type="dxa"/>
            <w:tcBorders>
              <w:top w:val="single" w:color="000000" w:sz="6" w:space="0"/>
              <w:bottom w:val="single" w:color="000000" w:sz="6" w:space="0"/>
              <w:right w:val="single" w:color="000000" w:sz="6" w:space="0"/>
            </w:tcBorders>
            <w:vAlign w:val="center"/>
          </w:tcPr>
          <w:p>
            <w:pPr>
              <w:pStyle w:val="19"/>
              <w:spacing w:before="95"/>
              <w:ind w:left="1"/>
              <w:jc w:val="center"/>
              <w:rPr>
                <w:sz w:val="24"/>
                <w:szCs w:val="24"/>
              </w:rPr>
            </w:pPr>
            <w:r>
              <w:rPr>
                <w:w w:val="99"/>
                <w:sz w:val="24"/>
                <w:szCs w:val="24"/>
              </w:rPr>
              <w:t>2</w:t>
            </w:r>
          </w:p>
        </w:tc>
        <w:tc>
          <w:tcPr>
            <w:tcW w:w="2160" w:type="dxa"/>
            <w:tcBorders>
              <w:top w:val="single" w:color="000000" w:sz="6" w:space="0"/>
              <w:left w:val="single" w:color="000000" w:sz="6" w:space="0"/>
              <w:bottom w:val="single" w:color="000000" w:sz="6" w:space="0"/>
              <w:right w:val="single" w:color="000000" w:sz="6" w:space="0"/>
            </w:tcBorders>
            <w:vAlign w:val="center"/>
          </w:tcPr>
          <w:p>
            <w:pPr>
              <w:jc w:val="center"/>
            </w:pPr>
            <w:r>
              <w:t>招标代理机构</w:t>
            </w:r>
          </w:p>
        </w:tc>
        <w:tc>
          <w:tcPr>
            <w:tcW w:w="5540" w:type="dxa"/>
            <w:tcBorders>
              <w:top w:val="single" w:color="000000" w:sz="6" w:space="0"/>
              <w:left w:val="single" w:color="000000" w:sz="6" w:space="0"/>
              <w:bottom w:val="single" w:color="000000" w:sz="6" w:space="0"/>
            </w:tcBorders>
            <w:vAlign w:val="center"/>
          </w:tcPr>
          <w:p>
            <w:r>
              <w:t>深圳市</w:t>
            </w:r>
            <w:r>
              <w:rPr>
                <w:rFonts w:hint="eastAsia"/>
              </w:rPr>
              <w:t>万皓管理咨询</w:t>
            </w:r>
            <w:r>
              <w:t>有限公司</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525" w:hRule="atLeast"/>
          <w:jc w:val="center"/>
        </w:trPr>
        <w:tc>
          <w:tcPr>
            <w:tcW w:w="807" w:type="dxa"/>
            <w:tcBorders>
              <w:top w:val="single" w:color="000000" w:sz="6" w:space="0"/>
              <w:bottom w:val="single" w:color="000000" w:sz="6" w:space="0"/>
              <w:right w:val="single" w:color="000000" w:sz="6" w:space="0"/>
            </w:tcBorders>
            <w:vAlign w:val="center"/>
          </w:tcPr>
          <w:p>
            <w:pPr>
              <w:pStyle w:val="19"/>
              <w:spacing w:before="126"/>
              <w:ind w:left="1"/>
              <w:jc w:val="center"/>
              <w:rPr>
                <w:sz w:val="24"/>
                <w:szCs w:val="24"/>
              </w:rPr>
            </w:pPr>
            <w:r>
              <w:rPr>
                <w:w w:val="99"/>
                <w:sz w:val="24"/>
                <w:szCs w:val="24"/>
              </w:rPr>
              <w:t>3</w:t>
            </w:r>
          </w:p>
        </w:tc>
        <w:tc>
          <w:tcPr>
            <w:tcW w:w="2160" w:type="dxa"/>
            <w:tcBorders>
              <w:top w:val="single" w:color="000000" w:sz="6" w:space="0"/>
              <w:left w:val="single" w:color="000000" w:sz="6" w:space="0"/>
              <w:bottom w:val="single" w:color="000000" w:sz="6" w:space="0"/>
              <w:right w:val="single" w:color="000000" w:sz="6" w:space="0"/>
            </w:tcBorders>
            <w:vAlign w:val="center"/>
          </w:tcPr>
          <w:p>
            <w:pPr>
              <w:jc w:val="center"/>
            </w:pPr>
            <w:r>
              <w:t>评标方法</w:t>
            </w:r>
          </w:p>
        </w:tc>
        <w:tc>
          <w:tcPr>
            <w:tcW w:w="5540" w:type="dxa"/>
            <w:tcBorders>
              <w:top w:val="single" w:color="000000" w:sz="6" w:space="0"/>
              <w:left w:val="single" w:color="000000" w:sz="6" w:space="0"/>
              <w:bottom w:val="single" w:color="000000" w:sz="6" w:space="0"/>
            </w:tcBorders>
            <w:vAlign w:val="center"/>
          </w:tcPr>
          <w:p>
            <w:r>
              <w:t>综合评分法</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461" w:hRule="atLeast"/>
          <w:jc w:val="center"/>
        </w:trPr>
        <w:tc>
          <w:tcPr>
            <w:tcW w:w="807" w:type="dxa"/>
            <w:tcBorders>
              <w:top w:val="single" w:color="000000" w:sz="6" w:space="0"/>
              <w:bottom w:val="single" w:color="000000" w:sz="6" w:space="0"/>
              <w:right w:val="single" w:color="000000" w:sz="6" w:space="0"/>
            </w:tcBorders>
            <w:vAlign w:val="center"/>
          </w:tcPr>
          <w:p>
            <w:pPr>
              <w:pStyle w:val="19"/>
              <w:spacing w:before="95"/>
              <w:ind w:right="63"/>
              <w:jc w:val="center"/>
              <w:rPr>
                <w:w w:val="99"/>
                <w:sz w:val="24"/>
                <w:szCs w:val="24"/>
              </w:rPr>
            </w:pPr>
            <w:r>
              <w:rPr>
                <w:rFonts w:hint="eastAsia"/>
                <w:w w:val="99"/>
                <w:sz w:val="24"/>
                <w:szCs w:val="24"/>
              </w:rPr>
              <w:t>4</w:t>
            </w:r>
          </w:p>
        </w:tc>
        <w:tc>
          <w:tcPr>
            <w:tcW w:w="2160" w:type="dxa"/>
            <w:tcBorders>
              <w:top w:val="single" w:color="000000" w:sz="6" w:space="0"/>
              <w:left w:val="single" w:color="000000" w:sz="6" w:space="0"/>
              <w:bottom w:val="single" w:color="000000" w:sz="6" w:space="0"/>
              <w:right w:val="single" w:color="000000" w:sz="6" w:space="0"/>
            </w:tcBorders>
            <w:vAlign w:val="center"/>
          </w:tcPr>
          <w:p>
            <w:pPr>
              <w:jc w:val="center"/>
            </w:pPr>
            <w:r>
              <w:rPr>
                <w:rFonts w:hint="eastAsia"/>
              </w:rPr>
              <w:t>定标方法</w:t>
            </w:r>
          </w:p>
        </w:tc>
        <w:tc>
          <w:tcPr>
            <w:tcW w:w="5540" w:type="dxa"/>
            <w:tcBorders>
              <w:top w:val="single" w:color="000000" w:sz="6" w:space="0"/>
              <w:left w:val="single" w:color="000000" w:sz="6" w:space="0"/>
              <w:bottom w:val="single" w:color="000000" w:sz="6" w:space="0"/>
            </w:tcBorders>
            <w:vAlign w:val="center"/>
          </w:tcPr>
          <w:p>
            <w:r>
              <w:rPr>
                <w:rFonts w:hint="eastAsia"/>
              </w:rPr>
              <w:t>自定法</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461" w:hRule="atLeast"/>
          <w:jc w:val="center"/>
        </w:trPr>
        <w:tc>
          <w:tcPr>
            <w:tcW w:w="807" w:type="dxa"/>
            <w:tcBorders>
              <w:top w:val="single" w:color="000000" w:sz="6" w:space="0"/>
              <w:bottom w:val="single" w:color="000000" w:sz="6" w:space="0"/>
              <w:right w:val="single" w:color="000000" w:sz="6" w:space="0"/>
            </w:tcBorders>
            <w:vAlign w:val="center"/>
          </w:tcPr>
          <w:p>
            <w:pPr>
              <w:pStyle w:val="19"/>
              <w:spacing w:before="96"/>
              <w:ind w:right="63"/>
              <w:jc w:val="center"/>
              <w:rPr>
                <w:sz w:val="24"/>
                <w:szCs w:val="24"/>
              </w:rPr>
            </w:pPr>
            <w:r>
              <w:rPr>
                <w:w w:val="99"/>
                <w:sz w:val="24"/>
                <w:szCs w:val="24"/>
              </w:rPr>
              <w:t>5</w:t>
            </w:r>
          </w:p>
        </w:tc>
        <w:tc>
          <w:tcPr>
            <w:tcW w:w="2160" w:type="dxa"/>
            <w:tcBorders>
              <w:top w:val="single" w:color="000000" w:sz="6" w:space="0"/>
              <w:left w:val="single" w:color="000000" w:sz="6" w:space="0"/>
              <w:bottom w:val="single" w:color="000000" w:sz="6" w:space="0"/>
              <w:right w:val="single" w:color="000000" w:sz="6" w:space="0"/>
            </w:tcBorders>
            <w:vAlign w:val="center"/>
          </w:tcPr>
          <w:p>
            <w:pPr>
              <w:jc w:val="center"/>
            </w:pPr>
            <w:r>
              <w:t>货币类型</w:t>
            </w:r>
          </w:p>
        </w:tc>
        <w:tc>
          <w:tcPr>
            <w:tcW w:w="5540" w:type="dxa"/>
            <w:tcBorders>
              <w:top w:val="single" w:color="000000" w:sz="6" w:space="0"/>
              <w:left w:val="single" w:color="000000" w:sz="6" w:space="0"/>
              <w:bottom w:val="single" w:color="000000" w:sz="6" w:space="0"/>
            </w:tcBorders>
            <w:vAlign w:val="center"/>
          </w:tcPr>
          <w:p>
            <w:r>
              <w:t>人民币</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462" w:hRule="atLeast"/>
          <w:jc w:val="center"/>
        </w:trPr>
        <w:tc>
          <w:tcPr>
            <w:tcW w:w="807" w:type="dxa"/>
            <w:tcBorders>
              <w:top w:val="single" w:color="000000" w:sz="6" w:space="0"/>
              <w:bottom w:val="single" w:color="000000" w:sz="6" w:space="0"/>
              <w:right w:val="single" w:color="000000" w:sz="6" w:space="0"/>
            </w:tcBorders>
            <w:vAlign w:val="center"/>
          </w:tcPr>
          <w:p>
            <w:pPr>
              <w:pStyle w:val="19"/>
              <w:ind w:left="1"/>
              <w:jc w:val="center"/>
              <w:rPr>
                <w:sz w:val="24"/>
                <w:szCs w:val="24"/>
              </w:rPr>
            </w:pPr>
            <w:r>
              <w:rPr>
                <w:w w:val="99"/>
                <w:sz w:val="24"/>
                <w:szCs w:val="24"/>
              </w:rPr>
              <w:t>6</w:t>
            </w:r>
          </w:p>
        </w:tc>
        <w:tc>
          <w:tcPr>
            <w:tcW w:w="2160" w:type="dxa"/>
            <w:tcBorders>
              <w:top w:val="single" w:color="000000" w:sz="6" w:space="0"/>
              <w:left w:val="single" w:color="000000" w:sz="6" w:space="0"/>
              <w:bottom w:val="single" w:color="000000" w:sz="6" w:space="0"/>
              <w:right w:val="single" w:color="000000" w:sz="6" w:space="0"/>
            </w:tcBorders>
            <w:vAlign w:val="center"/>
          </w:tcPr>
          <w:p>
            <w:pPr>
              <w:jc w:val="center"/>
            </w:pPr>
            <w:r>
              <w:t>投标人的替代方案</w:t>
            </w:r>
          </w:p>
        </w:tc>
        <w:tc>
          <w:tcPr>
            <w:tcW w:w="5540" w:type="dxa"/>
            <w:tcBorders>
              <w:top w:val="single" w:color="000000" w:sz="6" w:space="0"/>
              <w:left w:val="single" w:color="000000" w:sz="6" w:space="0"/>
              <w:bottom w:val="single" w:color="000000" w:sz="6" w:space="0"/>
            </w:tcBorders>
            <w:vAlign w:val="center"/>
          </w:tcPr>
          <w:p>
            <w:r>
              <w:t>不允许</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1813" w:hRule="atLeast"/>
          <w:jc w:val="center"/>
        </w:trPr>
        <w:tc>
          <w:tcPr>
            <w:tcW w:w="807" w:type="dxa"/>
            <w:tcBorders>
              <w:top w:val="single" w:color="000000" w:sz="6" w:space="0"/>
              <w:bottom w:val="single" w:color="000000" w:sz="6" w:space="0"/>
              <w:right w:val="single" w:color="000000" w:sz="6" w:space="0"/>
            </w:tcBorders>
            <w:vAlign w:val="center"/>
          </w:tcPr>
          <w:p>
            <w:pPr>
              <w:pStyle w:val="19"/>
              <w:ind w:left="1"/>
              <w:jc w:val="center"/>
              <w:rPr>
                <w:sz w:val="24"/>
                <w:szCs w:val="24"/>
              </w:rPr>
            </w:pPr>
            <w:r>
              <w:rPr>
                <w:w w:val="99"/>
                <w:sz w:val="24"/>
                <w:szCs w:val="24"/>
              </w:rPr>
              <w:t>7</w:t>
            </w:r>
          </w:p>
        </w:tc>
        <w:tc>
          <w:tcPr>
            <w:tcW w:w="2160" w:type="dxa"/>
            <w:tcBorders>
              <w:top w:val="single" w:color="000000" w:sz="6" w:space="0"/>
              <w:left w:val="single" w:color="000000" w:sz="6" w:space="0"/>
              <w:bottom w:val="single" w:color="000000" w:sz="6" w:space="0"/>
              <w:right w:val="single" w:color="000000" w:sz="6" w:space="0"/>
            </w:tcBorders>
            <w:vAlign w:val="center"/>
          </w:tcPr>
          <w:p>
            <w:pPr>
              <w:jc w:val="center"/>
            </w:pPr>
            <w:r>
              <w:t>投标文件的投递</w:t>
            </w:r>
          </w:p>
        </w:tc>
        <w:tc>
          <w:tcPr>
            <w:tcW w:w="5540" w:type="dxa"/>
            <w:tcBorders>
              <w:top w:val="single" w:color="000000" w:sz="6" w:space="0"/>
              <w:left w:val="single" w:color="000000" w:sz="6" w:space="0"/>
              <w:bottom w:val="single" w:color="000000" w:sz="6" w:space="0"/>
            </w:tcBorders>
            <w:vAlign w:val="center"/>
          </w:tcPr>
          <w:p>
            <w:r>
              <w:t>1、本项目实行纸质投标，递交投标文件时间：详见招标公告；</w:t>
            </w:r>
          </w:p>
          <w:p>
            <w:r>
              <w:t>2、投标人在递交投标文件的同时须携带法定代表人证明 书、授权委托书、被授权人身份证原件及复印件加盖投标人公章。（如参加开标会为投标单位法人的无须提供授权委托书）。</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923" w:hRule="atLeast"/>
          <w:jc w:val="center"/>
        </w:trPr>
        <w:tc>
          <w:tcPr>
            <w:tcW w:w="807" w:type="dxa"/>
            <w:tcBorders>
              <w:top w:val="single" w:color="000000" w:sz="6" w:space="0"/>
              <w:bottom w:val="single" w:color="000000" w:sz="6" w:space="0"/>
              <w:right w:val="single" w:color="000000" w:sz="6" w:space="0"/>
            </w:tcBorders>
            <w:vAlign w:val="center"/>
          </w:tcPr>
          <w:p>
            <w:pPr>
              <w:pStyle w:val="19"/>
              <w:ind w:left="1"/>
              <w:jc w:val="center"/>
              <w:rPr>
                <w:sz w:val="24"/>
                <w:szCs w:val="24"/>
              </w:rPr>
            </w:pPr>
            <w:r>
              <w:rPr>
                <w:w w:val="99"/>
                <w:sz w:val="24"/>
                <w:szCs w:val="24"/>
              </w:rPr>
              <w:t>8</w:t>
            </w:r>
          </w:p>
        </w:tc>
        <w:tc>
          <w:tcPr>
            <w:tcW w:w="2160" w:type="dxa"/>
            <w:tcBorders>
              <w:top w:val="single" w:color="000000" w:sz="6" w:space="0"/>
              <w:left w:val="single" w:color="000000" w:sz="6" w:space="0"/>
              <w:bottom w:val="single" w:color="000000" w:sz="6" w:space="0"/>
              <w:right w:val="single" w:color="000000" w:sz="6" w:space="0"/>
            </w:tcBorders>
            <w:vAlign w:val="center"/>
          </w:tcPr>
          <w:p>
            <w:pPr>
              <w:jc w:val="center"/>
            </w:pPr>
            <w:r>
              <w:t>开标一览表</w:t>
            </w:r>
          </w:p>
        </w:tc>
        <w:tc>
          <w:tcPr>
            <w:tcW w:w="5540" w:type="dxa"/>
            <w:tcBorders>
              <w:top w:val="single" w:color="000000" w:sz="6" w:space="0"/>
              <w:left w:val="single" w:color="000000" w:sz="6" w:space="0"/>
              <w:bottom w:val="single" w:color="000000" w:sz="6" w:space="0"/>
            </w:tcBorders>
            <w:vAlign w:val="center"/>
          </w:tcPr>
          <w:p>
            <w:r>
              <w:t>开标一览表（另行单独封装）请各投标人按第一册第三章投标文件格式开标一览表的模版填写。</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884" w:hRule="atLeast"/>
          <w:jc w:val="center"/>
        </w:trPr>
        <w:tc>
          <w:tcPr>
            <w:tcW w:w="807" w:type="dxa"/>
            <w:tcBorders>
              <w:top w:val="single" w:color="000000" w:sz="6" w:space="0"/>
              <w:bottom w:val="single" w:color="000000" w:sz="6" w:space="0"/>
              <w:right w:val="single" w:color="000000" w:sz="6" w:space="0"/>
            </w:tcBorders>
            <w:vAlign w:val="center"/>
          </w:tcPr>
          <w:p>
            <w:pPr>
              <w:pStyle w:val="19"/>
              <w:spacing w:line="251" w:lineRule="exact"/>
              <w:jc w:val="center"/>
              <w:rPr>
                <w:sz w:val="24"/>
                <w:szCs w:val="24"/>
              </w:rPr>
            </w:pPr>
            <w:r>
              <w:rPr>
                <w:w w:val="99"/>
                <w:sz w:val="24"/>
                <w:szCs w:val="24"/>
              </w:rPr>
              <w:t>9</w:t>
            </w:r>
          </w:p>
        </w:tc>
        <w:tc>
          <w:tcPr>
            <w:tcW w:w="2160" w:type="dxa"/>
            <w:tcBorders>
              <w:top w:val="single" w:color="000000" w:sz="6" w:space="0"/>
              <w:left w:val="single" w:color="000000" w:sz="6" w:space="0"/>
              <w:bottom w:val="single" w:color="000000" w:sz="6" w:space="0"/>
              <w:right w:val="single" w:color="000000" w:sz="6" w:space="0"/>
            </w:tcBorders>
            <w:vAlign w:val="center"/>
          </w:tcPr>
          <w:p>
            <w:pPr>
              <w:jc w:val="center"/>
            </w:pPr>
            <w:r>
              <w:t>投标文件数量</w:t>
            </w:r>
          </w:p>
        </w:tc>
        <w:tc>
          <w:tcPr>
            <w:tcW w:w="5540" w:type="dxa"/>
            <w:tcBorders>
              <w:top w:val="single" w:color="000000" w:sz="6" w:space="0"/>
              <w:left w:val="single" w:color="000000" w:sz="6" w:space="0"/>
              <w:bottom w:val="single" w:color="000000" w:sz="6" w:space="0"/>
            </w:tcBorders>
            <w:vAlign w:val="center"/>
          </w:tcPr>
          <w:p>
            <w:r>
              <w:rPr>
                <w:rFonts w:hint="eastAsia"/>
              </w:rPr>
              <w:t>1、</w:t>
            </w:r>
            <w:r>
              <w:t>开标一览表： 1 份；</w:t>
            </w:r>
          </w:p>
          <w:p>
            <w:r>
              <w:rPr>
                <w:rFonts w:hint="eastAsia"/>
              </w:rPr>
              <w:t>2、</w:t>
            </w:r>
            <w:r>
              <w:t>投标文件正本 1 份，副本</w:t>
            </w:r>
            <w:r>
              <w:rPr>
                <w:rFonts w:hint="eastAsia"/>
              </w:rPr>
              <w:t>4</w:t>
            </w:r>
            <w:r>
              <w:t>份；</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1989" w:hRule="atLeast"/>
          <w:jc w:val="center"/>
        </w:trPr>
        <w:tc>
          <w:tcPr>
            <w:tcW w:w="807" w:type="dxa"/>
            <w:tcBorders>
              <w:top w:val="single" w:color="000000" w:sz="6" w:space="0"/>
              <w:bottom w:val="single" w:color="000000" w:sz="6" w:space="0"/>
              <w:right w:val="single" w:color="000000" w:sz="6" w:space="0"/>
            </w:tcBorders>
            <w:vAlign w:val="center"/>
          </w:tcPr>
          <w:p>
            <w:pPr>
              <w:pStyle w:val="19"/>
              <w:spacing w:before="96"/>
              <w:ind w:right="63"/>
              <w:jc w:val="center"/>
              <w:rPr>
                <w:sz w:val="24"/>
                <w:szCs w:val="24"/>
              </w:rPr>
            </w:pPr>
            <w:r>
              <w:rPr>
                <w:rFonts w:hint="eastAsia"/>
                <w:w w:val="99"/>
                <w:sz w:val="24"/>
                <w:szCs w:val="24"/>
              </w:rPr>
              <w:t>10</w:t>
            </w:r>
          </w:p>
        </w:tc>
        <w:tc>
          <w:tcPr>
            <w:tcW w:w="2160" w:type="dxa"/>
            <w:tcBorders>
              <w:top w:val="single" w:color="000000" w:sz="6" w:space="0"/>
              <w:left w:val="single" w:color="000000" w:sz="6" w:space="0"/>
              <w:bottom w:val="single" w:color="000000" w:sz="6" w:space="0"/>
              <w:right w:val="single" w:color="000000" w:sz="6" w:space="0"/>
            </w:tcBorders>
            <w:vAlign w:val="center"/>
          </w:tcPr>
          <w:p>
            <w:pPr>
              <w:jc w:val="center"/>
            </w:pPr>
            <w:r>
              <w:t>装订（密封）要求</w:t>
            </w:r>
          </w:p>
          <w:p>
            <w:pPr>
              <w:jc w:val="center"/>
              <w:rPr>
                <w:sz w:val="16"/>
              </w:rPr>
            </w:pPr>
          </w:p>
          <w:p>
            <w:pPr>
              <w:jc w:val="center"/>
            </w:pPr>
            <w:r>
              <w:t>（须加盖公章）</w:t>
            </w:r>
          </w:p>
        </w:tc>
        <w:tc>
          <w:tcPr>
            <w:tcW w:w="5540" w:type="dxa"/>
            <w:tcBorders>
              <w:top w:val="single" w:color="000000" w:sz="6" w:space="0"/>
              <w:left w:val="single" w:color="000000" w:sz="6" w:space="0"/>
              <w:bottom w:val="single" w:color="000000" w:sz="6" w:space="0"/>
            </w:tcBorders>
            <w:vAlign w:val="center"/>
          </w:tcPr>
          <w:p>
            <w:r>
              <w:rPr>
                <w:rFonts w:hint="eastAsia"/>
              </w:rPr>
              <w:t>1、</w:t>
            </w:r>
            <w:r>
              <w:t>投标文件正副本一起密封（须加盖公章）；</w:t>
            </w:r>
          </w:p>
          <w:p>
            <w:r>
              <w:rPr>
                <w:rFonts w:hint="eastAsia"/>
              </w:rPr>
              <w:t>2、</w:t>
            </w:r>
            <w:r>
              <w:t>开标一览表另行单独密封（须加盖公章）；</w:t>
            </w:r>
          </w:p>
          <w:p>
            <w:r>
              <w:rPr>
                <w:rFonts w:hint="eastAsia"/>
              </w:rPr>
              <w:t>3、注：</w:t>
            </w:r>
            <w:r>
              <w:t>单位章指投标人经备案的公章，不得采用“投标专</w:t>
            </w:r>
            <w:r>
              <w:rPr>
                <w:rFonts w:hint="eastAsia"/>
              </w:rPr>
              <w:t>用</w:t>
            </w:r>
            <w:r>
              <w:t>章”、“业务专用章”、“合同专用章”等替代。投标文件应按照招标文件第三章“投标文件格式、附件”的要求由法定代表人或其授权代表签字并加盖公章。</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1110" w:hRule="atLeast"/>
          <w:jc w:val="center"/>
        </w:trPr>
        <w:tc>
          <w:tcPr>
            <w:tcW w:w="807" w:type="dxa"/>
            <w:tcBorders>
              <w:top w:val="single" w:color="000000" w:sz="6" w:space="0"/>
              <w:right w:val="single" w:color="000000" w:sz="6" w:space="0"/>
            </w:tcBorders>
            <w:vAlign w:val="center"/>
          </w:tcPr>
          <w:p>
            <w:pPr>
              <w:pStyle w:val="19"/>
              <w:spacing w:line="251" w:lineRule="exact"/>
              <w:jc w:val="center"/>
              <w:rPr>
                <w:w w:val="99"/>
                <w:sz w:val="24"/>
                <w:szCs w:val="24"/>
              </w:rPr>
            </w:pPr>
            <w:r>
              <w:rPr>
                <w:rFonts w:hint="eastAsia"/>
                <w:w w:val="99"/>
                <w:sz w:val="24"/>
                <w:szCs w:val="24"/>
              </w:rPr>
              <w:t>11</w:t>
            </w:r>
          </w:p>
        </w:tc>
        <w:tc>
          <w:tcPr>
            <w:tcW w:w="2160" w:type="dxa"/>
            <w:tcBorders>
              <w:top w:val="single" w:color="000000" w:sz="6" w:space="0"/>
              <w:left w:val="single" w:color="000000" w:sz="6" w:space="0"/>
              <w:right w:val="single" w:color="000000" w:sz="6" w:space="0"/>
            </w:tcBorders>
            <w:vAlign w:val="center"/>
          </w:tcPr>
          <w:p>
            <w:pPr>
              <w:jc w:val="center"/>
            </w:pPr>
            <w:r>
              <w:t>报价要求</w:t>
            </w:r>
          </w:p>
        </w:tc>
        <w:tc>
          <w:tcPr>
            <w:tcW w:w="5540" w:type="dxa"/>
            <w:tcBorders>
              <w:top w:val="single" w:color="000000" w:sz="6" w:space="0"/>
              <w:left w:val="single" w:color="000000" w:sz="6" w:space="0"/>
            </w:tcBorders>
            <w:vAlign w:val="center"/>
          </w:tcPr>
          <w:p>
            <w:r>
              <w:t>报价要求：在编制投标文件“开标一览表”时请各投标人按第三章投标文件格式的模版填写。</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1701" w:hRule="atLeast"/>
          <w:jc w:val="center"/>
        </w:trPr>
        <w:tc>
          <w:tcPr>
            <w:tcW w:w="807" w:type="dxa"/>
            <w:tcBorders>
              <w:bottom w:val="single" w:color="000000" w:sz="6" w:space="0"/>
              <w:right w:val="single" w:color="000000" w:sz="6" w:space="0"/>
            </w:tcBorders>
            <w:vAlign w:val="center"/>
          </w:tcPr>
          <w:p>
            <w:pPr>
              <w:pStyle w:val="19"/>
              <w:spacing w:line="251" w:lineRule="exact"/>
              <w:jc w:val="center"/>
              <w:rPr>
                <w:w w:val="99"/>
                <w:sz w:val="24"/>
                <w:szCs w:val="24"/>
              </w:rPr>
            </w:pPr>
            <w:r>
              <w:rPr>
                <w:w w:val="99"/>
                <w:sz w:val="24"/>
                <w:szCs w:val="24"/>
              </w:rPr>
              <w:t>1</w:t>
            </w:r>
            <w:r>
              <w:rPr>
                <w:rFonts w:hint="eastAsia"/>
                <w:w w:val="99"/>
                <w:sz w:val="24"/>
                <w:szCs w:val="24"/>
              </w:rPr>
              <w:t>2</w:t>
            </w:r>
          </w:p>
        </w:tc>
        <w:tc>
          <w:tcPr>
            <w:tcW w:w="2160" w:type="dxa"/>
            <w:tcBorders>
              <w:left w:val="single" w:color="000000" w:sz="6" w:space="0"/>
              <w:bottom w:val="single" w:color="000000" w:sz="6" w:space="0"/>
              <w:right w:val="single" w:color="000000" w:sz="6" w:space="0"/>
            </w:tcBorders>
            <w:vAlign w:val="center"/>
          </w:tcPr>
          <w:p>
            <w:pPr>
              <w:jc w:val="center"/>
            </w:pPr>
            <w:r>
              <w:rPr>
                <w:rFonts w:hint="eastAsia"/>
              </w:rPr>
              <w:t>投标</w:t>
            </w:r>
            <w:r>
              <w:t>保证金</w:t>
            </w:r>
          </w:p>
        </w:tc>
        <w:tc>
          <w:tcPr>
            <w:tcW w:w="5540" w:type="dxa"/>
            <w:tcBorders>
              <w:left w:val="single" w:color="000000" w:sz="6" w:space="0"/>
              <w:bottom w:val="single" w:color="000000" w:sz="6" w:space="0"/>
            </w:tcBorders>
            <w:vAlign w:val="center"/>
          </w:tcPr>
          <w:p>
            <w:r>
              <w:t>1、</w:t>
            </w:r>
            <w:r>
              <w:rPr>
                <w:rFonts w:hint="eastAsia"/>
              </w:rPr>
              <w:t>投标</w:t>
            </w:r>
            <w:r>
              <w:t>保证金应在招标文件规定的时间内到达招标人指定的账户，招标人以银行到帐时间为依据</w:t>
            </w:r>
            <w:r>
              <w:rPr>
                <w:rFonts w:hint="eastAsia"/>
              </w:rPr>
              <w:t>（</w:t>
            </w:r>
            <w:r>
              <w:t>投标保证金必须从投标人基本账户转出</w:t>
            </w:r>
            <w:r>
              <w:rPr>
                <w:rFonts w:hint="eastAsia"/>
              </w:rPr>
              <w:t>，如缴纳现金或个人账户转至招标人指定银行账户的，须提供招标人开具的投标保证金缴纳收据凭证并加盖招标人财务专用章）</w:t>
            </w:r>
            <w:r>
              <w:t>。</w:t>
            </w:r>
          </w:p>
          <w:p>
            <w:r>
              <w:t>2、中标结果公示结束后，未中标投标人凭借退还保证金申请书向招标人提出申请，招标人在 5 个工作日内无息</w:t>
            </w:r>
            <w:r>
              <w:rPr>
                <w:rFonts w:hint="eastAsia"/>
              </w:rPr>
              <w:t>全款</w:t>
            </w:r>
            <w:r>
              <w:t>退还。</w:t>
            </w:r>
          </w:p>
          <w:p>
            <w:r>
              <w:rPr>
                <w:rFonts w:hint="eastAsia"/>
              </w:rPr>
              <w:t>3、中标人的投标保证金自动转为租赁押金。</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560" w:hRule="atLeast"/>
          <w:jc w:val="center"/>
        </w:trPr>
        <w:tc>
          <w:tcPr>
            <w:tcW w:w="807" w:type="dxa"/>
            <w:tcBorders>
              <w:top w:val="single" w:color="000000" w:sz="6" w:space="0"/>
              <w:bottom w:val="single" w:color="000000" w:sz="6" w:space="0"/>
              <w:right w:val="single" w:color="000000" w:sz="6" w:space="0"/>
            </w:tcBorders>
            <w:vAlign w:val="center"/>
          </w:tcPr>
          <w:p>
            <w:pPr>
              <w:pStyle w:val="19"/>
              <w:spacing w:line="251" w:lineRule="exact"/>
              <w:jc w:val="center"/>
              <w:rPr>
                <w:w w:val="99"/>
                <w:sz w:val="24"/>
                <w:szCs w:val="24"/>
              </w:rPr>
            </w:pPr>
            <w:r>
              <w:rPr>
                <w:w w:val="99"/>
                <w:sz w:val="24"/>
                <w:szCs w:val="24"/>
              </w:rPr>
              <w:t>1</w:t>
            </w:r>
            <w:r>
              <w:rPr>
                <w:rFonts w:hint="eastAsia"/>
                <w:w w:val="99"/>
                <w:sz w:val="24"/>
                <w:szCs w:val="24"/>
              </w:rPr>
              <w:t>3</w:t>
            </w:r>
          </w:p>
        </w:tc>
        <w:tc>
          <w:tcPr>
            <w:tcW w:w="2160" w:type="dxa"/>
            <w:tcBorders>
              <w:top w:val="single" w:color="000000" w:sz="6" w:space="0"/>
              <w:left w:val="single" w:color="000000" w:sz="6" w:space="0"/>
              <w:bottom w:val="single" w:color="000000" w:sz="6" w:space="0"/>
              <w:right w:val="single" w:color="000000" w:sz="6" w:space="0"/>
            </w:tcBorders>
            <w:vAlign w:val="center"/>
          </w:tcPr>
          <w:p>
            <w:pPr>
              <w:jc w:val="center"/>
            </w:pPr>
            <w:r>
              <w:t>投标有效期</w:t>
            </w:r>
          </w:p>
        </w:tc>
        <w:tc>
          <w:tcPr>
            <w:tcW w:w="5540" w:type="dxa"/>
            <w:tcBorders>
              <w:top w:val="single" w:color="000000" w:sz="6" w:space="0"/>
              <w:left w:val="single" w:color="000000" w:sz="6" w:space="0"/>
              <w:bottom w:val="single" w:color="000000" w:sz="6" w:space="0"/>
            </w:tcBorders>
            <w:vAlign w:val="center"/>
          </w:tcPr>
          <w:p>
            <w:r>
              <w:t>自投标截止时间起 90 个日历日有效。</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560" w:hRule="atLeast"/>
          <w:jc w:val="center"/>
        </w:trPr>
        <w:tc>
          <w:tcPr>
            <w:tcW w:w="807" w:type="dxa"/>
            <w:tcBorders>
              <w:top w:val="single" w:color="000000" w:sz="6" w:space="0"/>
              <w:bottom w:val="single" w:color="000000" w:sz="6" w:space="0"/>
              <w:right w:val="single" w:color="000000" w:sz="6" w:space="0"/>
            </w:tcBorders>
            <w:vAlign w:val="center"/>
          </w:tcPr>
          <w:p>
            <w:pPr>
              <w:pStyle w:val="19"/>
              <w:spacing w:line="251" w:lineRule="exact"/>
              <w:jc w:val="center"/>
              <w:rPr>
                <w:w w:val="99"/>
                <w:sz w:val="24"/>
                <w:szCs w:val="24"/>
              </w:rPr>
            </w:pPr>
            <w:r>
              <w:rPr>
                <w:w w:val="99"/>
                <w:sz w:val="24"/>
                <w:szCs w:val="24"/>
              </w:rPr>
              <w:t>1</w:t>
            </w:r>
            <w:r>
              <w:rPr>
                <w:rFonts w:hint="eastAsia"/>
                <w:w w:val="99"/>
                <w:sz w:val="24"/>
                <w:szCs w:val="24"/>
              </w:rPr>
              <w:t>4</w:t>
            </w:r>
          </w:p>
        </w:tc>
        <w:tc>
          <w:tcPr>
            <w:tcW w:w="2160" w:type="dxa"/>
            <w:tcBorders>
              <w:top w:val="single" w:color="000000" w:sz="6" w:space="0"/>
              <w:left w:val="single" w:color="000000" w:sz="6" w:space="0"/>
              <w:bottom w:val="single" w:color="000000" w:sz="6" w:space="0"/>
              <w:right w:val="single" w:color="000000" w:sz="6" w:space="0"/>
            </w:tcBorders>
            <w:vAlign w:val="center"/>
          </w:tcPr>
          <w:p>
            <w:pPr>
              <w:jc w:val="center"/>
            </w:pPr>
            <w:r>
              <w:t>答疑事项</w:t>
            </w:r>
          </w:p>
        </w:tc>
        <w:tc>
          <w:tcPr>
            <w:tcW w:w="5540" w:type="dxa"/>
            <w:tcBorders>
              <w:top w:val="single" w:color="000000" w:sz="6" w:space="0"/>
              <w:left w:val="single" w:color="000000" w:sz="6" w:space="0"/>
              <w:bottom w:val="single" w:color="000000" w:sz="6" w:space="0"/>
            </w:tcBorders>
            <w:vAlign w:val="center"/>
          </w:tcPr>
          <w:p>
            <w:r>
              <w:t>详见</w:t>
            </w:r>
            <w:r>
              <w:rPr>
                <w:rFonts w:hint="eastAsia"/>
              </w:rPr>
              <w:t>第一册第一章</w:t>
            </w:r>
            <w:r>
              <w:t>招标公告。</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559" w:hRule="atLeast"/>
          <w:jc w:val="center"/>
        </w:trPr>
        <w:tc>
          <w:tcPr>
            <w:tcW w:w="807" w:type="dxa"/>
            <w:tcBorders>
              <w:top w:val="single" w:color="000000" w:sz="6" w:space="0"/>
              <w:bottom w:val="single" w:color="000000" w:sz="6" w:space="0"/>
              <w:right w:val="single" w:color="000000" w:sz="6" w:space="0"/>
            </w:tcBorders>
            <w:vAlign w:val="center"/>
          </w:tcPr>
          <w:p>
            <w:pPr>
              <w:pStyle w:val="19"/>
              <w:spacing w:line="251" w:lineRule="exact"/>
              <w:ind w:right="284"/>
              <w:jc w:val="center"/>
              <w:rPr>
                <w:w w:val="99"/>
                <w:sz w:val="24"/>
                <w:szCs w:val="24"/>
              </w:rPr>
            </w:pPr>
            <w:r>
              <w:rPr>
                <w:rFonts w:hint="eastAsia"/>
                <w:w w:val="99"/>
                <w:sz w:val="24"/>
                <w:szCs w:val="24"/>
              </w:rPr>
              <w:t xml:space="preserve">  </w:t>
            </w:r>
            <w:r>
              <w:rPr>
                <w:w w:val="99"/>
                <w:sz w:val="24"/>
                <w:szCs w:val="24"/>
              </w:rPr>
              <w:t>1</w:t>
            </w:r>
            <w:r>
              <w:rPr>
                <w:rFonts w:hint="eastAsia"/>
                <w:w w:val="99"/>
                <w:sz w:val="24"/>
                <w:szCs w:val="24"/>
              </w:rPr>
              <w:t>5</w:t>
            </w:r>
          </w:p>
        </w:tc>
        <w:tc>
          <w:tcPr>
            <w:tcW w:w="2160" w:type="dxa"/>
            <w:tcBorders>
              <w:top w:val="single" w:color="000000" w:sz="6" w:space="0"/>
              <w:left w:val="single" w:color="000000" w:sz="6" w:space="0"/>
              <w:bottom w:val="single" w:color="000000" w:sz="6" w:space="0"/>
              <w:right w:val="single" w:color="000000" w:sz="6" w:space="0"/>
            </w:tcBorders>
            <w:vAlign w:val="center"/>
          </w:tcPr>
          <w:p>
            <w:pPr>
              <w:jc w:val="center"/>
            </w:pPr>
            <w:r>
              <w:rPr>
                <w:rFonts w:hint="eastAsia"/>
              </w:rPr>
              <w:t>报名截止时间及报名方式与地点</w:t>
            </w:r>
          </w:p>
        </w:tc>
        <w:tc>
          <w:tcPr>
            <w:tcW w:w="5540" w:type="dxa"/>
            <w:tcBorders>
              <w:top w:val="single" w:color="000000" w:sz="6" w:space="0"/>
              <w:left w:val="single" w:color="000000" w:sz="6" w:space="0"/>
              <w:bottom w:val="single" w:color="000000" w:sz="6" w:space="0"/>
            </w:tcBorders>
            <w:vAlign w:val="center"/>
          </w:tcPr>
          <w:p>
            <w:r>
              <w:t>详见</w:t>
            </w:r>
            <w:r>
              <w:rPr>
                <w:rFonts w:hint="eastAsia"/>
              </w:rPr>
              <w:t>第一册第一章</w:t>
            </w:r>
            <w:r>
              <w:t>招标公告。</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560" w:hRule="atLeast"/>
          <w:jc w:val="center"/>
        </w:trPr>
        <w:tc>
          <w:tcPr>
            <w:tcW w:w="807" w:type="dxa"/>
            <w:tcBorders>
              <w:top w:val="single" w:color="000000" w:sz="6" w:space="0"/>
              <w:bottom w:val="single" w:color="000000" w:sz="6" w:space="0"/>
              <w:right w:val="single" w:color="000000" w:sz="6" w:space="0"/>
            </w:tcBorders>
            <w:vAlign w:val="center"/>
          </w:tcPr>
          <w:p>
            <w:pPr>
              <w:pStyle w:val="19"/>
              <w:spacing w:line="251" w:lineRule="exact"/>
              <w:jc w:val="center"/>
              <w:rPr>
                <w:w w:val="99"/>
                <w:sz w:val="24"/>
                <w:szCs w:val="24"/>
              </w:rPr>
            </w:pPr>
            <w:r>
              <w:rPr>
                <w:w w:val="99"/>
                <w:sz w:val="24"/>
                <w:szCs w:val="24"/>
              </w:rPr>
              <w:t>1</w:t>
            </w:r>
            <w:r>
              <w:rPr>
                <w:rFonts w:hint="eastAsia"/>
                <w:w w:val="99"/>
                <w:sz w:val="24"/>
                <w:szCs w:val="24"/>
              </w:rPr>
              <w:t>6</w:t>
            </w:r>
          </w:p>
        </w:tc>
        <w:tc>
          <w:tcPr>
            <w:tcW w:w="2160" w:type="dxa"/>
            <w:tcBorders>
              <w:top w:val="single" w:color="000000" w:sz="6" w:space="0"/>
              <w:left w:val="single" w:color="000000" w:sz="6" w:space="0"/>
              <w:bottom w:val="single" w:color="000000" w:sz="6" w:space="0"/>
              <w:right w:val="single" w:color="000000" w:sz="6" w:space="0"/>
            </w:tcBorders>
            <w:vAlign w:val="center"/>
          </w:tcPr>
          <w:p>
            <w:pPr>
              <w:jc w:val="center"/>
            </w:pPr>
            <w:r>
              <w:t>开</w:t>
            </w:r>
            <w:r>
              <w:rPr>
                <w:rFonts w:hint="eastAsia"/>
              </w:rPr>
              <w:t>评</w:t>
            </w:r>
            <w:r>
              <w:t>标时间及地点</w:t>
            </w:r>
          </w:p>
        </w:tc>
        <w:tc>
          <w:tcPr>
            <w:tcW w:w="5540" w:type="dxa"/>
            <w:tcBorders>
              <w:top w:val="single" w:color="000000" w:sz="6" w:space="0"/>
              <w:left w:val="single" w:color="000000" w:sz="6" w:space="0"/>
              <w:bottom w:val="single" w:color="000000" w:sz="6" w:space="0"/>
            </w:tcBorders>
            <w:vAlign w:val="center"/>
          </w:tcPr>
          <w:p>
            <w:r>
              <w:t>详见</w:t>
            </w:r>
            <w:r>
              <w:rPr>
                <w:rFonts w:hint="eastAsia"/>
              </w:rPr>
              <w:t>第一册第一章</w:t>
            </w:r>
            <w:r>
              <w:t>招标公告；</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1680" w:hRule="atLeast"/>
          <w:jc w:val="center"/>
        </w:trPr>
        <w:tc>
          <w:tcPr>
            <w:tcW w:w="807" w:type="dxa"/>
            <w:tcBorders>
              <w:top w:val="single" w:color="000000" w:sz="6" w:space="0"/>
              <w:bottom w:val="single" w:color="000000" w:sz="6" w:space="0"/>
              <w:right w:val="single" w:color="000000" w:sz="6" w:space="0"/>
            </w:tcBorders>
            <w:vAlign w:val="center"/>
          </w:tcPr>
          <w:p>
            <w:pPr>
              <w:pStyle w:val="19"/>
              <w:spacing w:line="251" w:lineRule="exact"/>
              <w:jc w:val="center"/>
              <w:rPr>
                <w:w w:val="99"/>
                <w:sz w:val="24"/>
                <w:szCs w:val="24"/>
              </w:rPr>
            </w:pPr>
            <w:r>
              <w:rPr>
                <w:w w:val="99"/>
                <w:sz w:val="24"/>
                <w:szCs w:val="24"/>
              </w:rPr>
              <w:t>1</w:t>
            </w:r>
            <w:r>
              <w:rPr>
                <w:rFonts w:hint="eastAsia"/>
                <w:w w:val="99"/>
                <w:sz w:val="24"/>
                <w:szCs w:val="24"/>
              </w:rPr>
              <w:t>7</w:t>
            </w:r>
          </w:p>
        </w:tc>
        <w:tc>
          <w:tcPr>
            <w:tcW w:w="2160" w:type="dxa"/>
            <w:tcBorders>
              <w:top w:val="single" w:color="000000" w:sz="6" w:space="0"/>
              <w:left w:val="single" w:color="000000" w:sz="6" w:space="0"/>
              <w:bottom w:val="single" w:color="000000" w:sz="6" w:space="0"/>
              <w:right w:val="single" w:color="000000" w:sz="6" w:space="0"/>
            </w:tcBorders>
            <w:vAlign w:val="center"/>
          </w:tcPr>
          <w:p>
            <w:pPr>
              <w:jc w:val="center"/>
            </w:pPr>
            <w:r>
              <w:t>招标代理服务费收取标准</w:t>
            </w:r>
          </w:p>
        </w:tc>
        <w:tc>
          <w:tcPr>
            <w:tcW w:w="5540" w:type="dxa"/>
            <w:tcBorders>
              <w:top w:val="single" w:color="000000" w:sz="6" w:space="0"/>
              <w:left w:val="single" w:color="000000" w:sz="6" w:space="0"/>
              <w:bottom w:val="single" w:color="000000" w:sz="6" w:space="0"/>
            </w:tcBorders>
            <w:vAlign w:val="center"/>
          </w:tcPr>
          <w:p>
            <w:pPr>
              <w:pStyle w:val="19"/>
              <w:spacing w:before="95"/>
              <w:ind w:left="105"/>
              <w:jc w:val="both"/>
              <w:rPr>
                <w:b/>
                <w:sz w:val="21"/>
              </w:rPr>
            </w:pPr>
            <w:r>
              <w:rPr>
                <w:b/>
                <w:sz w:val="21"/>
              </w:rPr>
              <w:t>招标代理服务费</w:t>
            </w:r>
            <w:r>
              <w:rPr>
                <w:rFonts w:hint="eastAsia"/>
                <w:b/>
                <w:sz w:val="21"/>
              </w:rPr>
              <w:t>：</w:t>
            </w:r>
          </w:p>
          <w:p>
            <w:r>
              <w:t>中标人须向招标机构按如下标准和规定缴纳招标代理服务费：</w:t>
            </w:r>
          </w:p>
          <w:p>
            <w:r>
              <w:t>1、以中标通知书中确定的</w:t>
            </w:r>
            <w:r>
              <w:rPr>
                <w:rFonts w:hint="eastAsia"/>
              </w:rPr>
              <w:t>中标承租</w:t>
            </w:r>
            <w:r>
              <w:t>月租金的三分之一作为本次项目招标代理服务费，但最低为一万元人民币。</w:t>
            </w:r>
          </w:p>
          <w:p>
            <w:r>
              <w:t>2.招标机构招标代理服务费账户信息：</w:t>
            </w:r>
          </w:p>
          <w:p>
            <w:r>
              <w:t>开 户 行：</w:t>
            </w:r>
            <w:r>
              <w:rPr>
                <w:rFonts w:hint="eastAsia"/>
              </w:rPr>
              <w:t>中国建设银行深圳创业支行</w:t>
            </w:r>
          </w:p>
          <w:p>
            <w:r>
              <w:t>账户名称：深圳市</w:t>
            </w:r>
            <w:r>
              <w:rPr>
                <w:rFonts w:hint="eastAsia"/>
              </w:rPr>
              <w:t>万皓管理咨询</w:t>
            </w:r>
            <w:r>
              <w:t>有限公司</w:t>
            </w:r>
          </w:p>
          <w:p>
            <w:r>
              <w:t>账号：</w:t>
            </w:r>
            <w:r>
              <w:rPr>
                <w:rFonts w:hint="eastAsia"/>
              </w:rPr>
              <w:t>44250100008100001011</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1677" w:hRule="atLeast"/>
          <w:jc w:val="center"/>
        </w:trPr>
        <w:tc>
          <w:tcPr>
            <w:tcW w:w="807" w:type="dxa"/>
            <w:tcBorders>
              <w:top w:val="single" w:color="000000" w:sz="6" w:space="0"/>
              <w:right w:val="single" w:color="000000" w:sz="6" w:space="0"/>
            </w:tcBorders>
            <w:vAlign w:val="center"/>
          </w:tcPr>
          <w:p>
            <w:pPr>
              <w:pStyle w:val="19"/>
              <w:spacing w:line="251" w:lineRule="exact"/>
              <w:jc w:val="center"/>
              <w:rPr>
                <w:w w:val="99"/>
                <w:sz w:val="24"/>
                <w:szCs w:val="24"/>
              </w:rPr>
            </w:pPr>
            <w:r>
              <w:rPr>
                <w:w w:val="99"/>
                <w:sz w:val="24"/>
                <w:szCs w:val="24"/>
              </w:rPr>
              <w:t>1</w:t>
            </w:r>
            <w:r>
              <w:rPr>
                <w:rFonts w:hint="eastAsia"/>
                <w:w w:val="99"/>
                <w:sz w:val="24"/>
                <w:szCs w:val="24"/>
              </w:rPr>
              <w:t>8</w:t>
            </w:r>
          </w:p>
        </w:tc>
        <w:tc>
          <w:tcPr>
            <w:tcW w:w="2160" w:type="dxa"/>
            <w:tcBorders>
              <w:top w:val="single" w:color="000000" w:sz="6" w:space="0"/>
              <w:left w:val="single" w:color="000000" w:sz="6" w:space="0"/>
              <w:right w:val="single" w:color="000000" w:sz="6" w:space="0"/>
            </w:tcBorders>
            <w:vAlign w:val="center"/>
          </w:tcPr>
          <w:p>
            <w:pPr>
              <w:jc w:val="center"/>
            </w:pPr>
            <w:r>
              <w:rPr>
                <w:rFonts w:hint="eastAsia"/>
                <w:lang w:val="en-US"/>
              </w:rPr>
              <w:t>标书费（招标文件）收取标准</w:t>
            </w:r>
          </w:p>
        </w:tc>
        <w:tc>
          <w:tcPr>
            <w:tcW w:w="5540" w:type="dxa"/>
            <w:tcBorders>
              <w:top w:val="single" w:color="000000" w:sz="6" w:space="0"/>
              <w:left w:val="single" w:color="000000" w:sz="6" w:space="0"/>
            </w:tcBorders>
            <w:vAlign w:val="center"/>
          </w:tcPr>
          <w:p>
            <w:r>
              <w:rPr>
                <w:rFonts w:hint="eastAsia"/>
                <w:sz w:val="21"/>
              </w:rPr>
              <w:t>投标报名费用：投标人下载招标文件后，如确认参加本项目投标，投标人应在投标前按照招标公告中要求向招标代理机构进行报名，并提供《投标报名登记表》登记相关信息，及缴纳标书费</w:t>
            </w:r>
            <w:r>
              <w:rPr>
                <w:rFonts w:hint="eastAsia"/>
                <w:b/>
                <w:sz w:val="21"/>
              </w:rPr>
              <w:t>600元人民币</w:t>
            </w:r>
            <w:r>
              <w:rPr>
                <w:rFonts w:hint="eastAsia"/>
                <w:sz w:val="21"/>
              </w:rPr>
              <w:t>，可现金支付，或转账缴纳。</w:t>
            </w:r>
          </w:p>
        </w:tc>
      </w:tr>
    </w:tbl>
    <w:p>
      <w:pPr>
        <w:pStyle w:val="9"/>
        <w:spacing w:before="115"/>
        <w:ind w:left="440"/>
      </w:pPr>
      <w:r>
        <w:t>备注：本表为通用条款相关内容的补充和明确，如与通用条款相冲突的以本表为准。</w:t>
      </w:r>
    </w:p>
    <w:p>
      <w:pPr>
        <w:pStyle w:val="5"/>
        <w:ind w:left="0" w:firstLine="643" w:firstLineChars="200"/>
        <w:rPr>
          <w:rFonts w:ascii="黑体" w:hAnsi="黑体" w:eastAsia="黑体"/>
          <w:sz w:val="32"/>
          <w:szCs w:val="32"/>
        </w:rPr>
      </w:pPr>
      <w:bookmarkStart w:id="9" w:name="二、项目计划情况"/>
      <w:bookmarkEnd w:id="9"/>
      <w:r>
        <w:rPr>
          <w:rFonts w:ascii="黑体" w:hAnsi="黑体" w:eastAsia="黑体"/>
          <w:sz w:val="32"/>
          <w:szCs w:val="32"/>
        </w:rPr>
        <w:t>二、项目概况</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1、基本情况：光明区玉塘街道田寮社区松白路旁第六工业区</w:t>
      </w:r>
      <w:r>
        <w:rPr>
          <w:rFonts w:asciiTheme="minorEastAsia" w:hAnsiTheme="minorEastAsia" w:eastAsiaTheme="minorEastAsia"/>
          <w:sz w:val="28"/>
          <w:szCs w:val="28"/>
        </w:rPr>
        <w:t>4栋物业共两栋，其中厂房面积3345平方米，宿舍</w:t>
      </w:r>
      <w:r>
        <w:rPr>
          <w:rFonts w:hint="eastAsia" w:asciiTheme="minorEastAsia" w:hAnsiTheme="minorEastAsia" w:eastAsiaTheme="minorEastAsia"/>
          <w:sz w:val="28"/>
          <w:szCs w:val="28"/>
          <w:lang w:val="en-US"/>
        </w:rPr>
        <w:t>1616</w:t>
      </w:r>
      <w:r>
        <w:rPr>
          <w:rFonts w:asciiTheme="minorEastAsia" w:hAnsiTheme="minorEastAsia" w:eastAsiaTheme="minorEastAsia"/>
          <w:sz w:val="28"/>
          <w:szCs w:val="28"/>
        </w:rPr>
        <w:t>平方米，总面积为</w:t>
      </w:r>
      <w:r>
        <w:rPr>
          <w:rFonts w:hint="eastAsia" w:asciiTheme="minorEastAsia" w:hAnsiTheme="minorEastAsia" w:eastAsiaTheme="minorEastAsia"/>
          <w:sz w:val="28"/>
          <w:szCs w:val="28"/>
          <w:lang w:val="en-US"/>
        </w:rPr>
        <w:t>4961</w:t>
      </w:r>
      <w:r>
        <w:rPr>
          <w:rFonts w:asciiTheme="minorEastAsia" w:hAnsiTheme="minorEastAsia" w:eastAsiaTheme="minorEastAsia"/>
          <w:sz w:val="28"/>
          <w:szCs w:val="28"/>
        </w:rPr>
        <w:t>平方米（位置界限以红线坐标为准，面积以实际测量为准）。用途以工业、宿舍为主，不能做重工业、高污染等产业；租赁物业属于我司集体资产，不存在产权争议纠纷，来源合法，属于历史遗留问题房产，目前尚未办理房屋产权证书,物业按现状出租。</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2、物业空置：否，原租赁合同2020年4月30日到期。</w:t>
      </w:r>
    </w:p>
    <w:p>
      <w:pPr>
        <w:pStyle w:val="5"/>
        <w:ind w:left="0" w:firstLine="643" w:firstLineChars="200"/>
        <w:rPr>
          <w:rFonts w:ascii="黑体" w:hAnsi="黑体" w:eastAsia="黑体"/>
          <w:sz w:val="32"/>
          <w:szCs w:val="32"/>
        </w:rPr>
      </w:pPr>
      <w:r>
        <w:rPr>
          <w:rFonts w:ascii="黑体" w:hAnsi="黑体" w:eastAsia="黑体"/>
          <w:sz w:val="32"/>
          <w:szCs w:val="32"/>
        </w:rPr>
        <w:t>三、项目</w:t>
      </w:r>
      <w:r>
        <w:rPr>
          <w:rFonts w:hint="eastAsia" w:ascii="黑体" w:hAnsi="黑体" w:eastAsia="黑体"/>
          <w:sz w:val="32"/>
          <w:szCs w:val="32"/>
        </w:rPr>
        <w:t>需求</w:t>
      </w:r>
    </w:p>
    <w:p>
      <w:pPr>
        <w:ind w:firstLine="703" w:firstLineChars="250"/>
        <w:rPr>
          <w:rFonts w:ascii="楷体_GB2312" w:eastAsia="楷体_GB2312"/>
          <w:b/>
          <w:sz w:val="28"/>
          <w:szCs w:val="28"/>
        </w:rPr>
      </w:pPr>
      <w:r>
        <w:rPr>
          <w:rFonts w:hint="eastAsia" w:ascii="楷体_GB2312" w:eastAsia="楷体_GB2312"/>
          <w:b/>
          <w:sz w:val="28"/>
          <w:szCs w:val="28"/>
        </w:rPr>
        <w:t>（一）报价要求</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本项目报价不得低于租金底价23元（不含税）/月/平方米，即月租金</w:t>
      </w:r>
      <w:r>
        <w:rPr>
          <w:rFonts w:hint="eastAsia" w:asciiTheme="minorEastAsia" w:hAnsiTheme="minorEastAsia" w:eastAsiaTheme="minorEastAsia"/>
          <w:sz w:val="32"/>
          <w:szCs w:val="32"/>
          <w:lang w:val="en-US"/>
        </w:rPr>
        <w:t>114103</w:t>
      </w:r>
      <w:r>
        <w:rPr>
          <w:rFonts w:hint="eastAsia" w:asciiTheme="minorEastAsia" w:hAnsiTheme="minorEastAsia" w:eastAsiaTheme="minorEastAsia"/>
          <w:sz w:val="28"/>
          <w:szCs w:val="28"/>
        </w:rPr>
        <w:t>元，否则投标无效。</w:t>
      </w:r>
    </w:p>
    <w:p>
      <w:pPr>
        <w:ind w:firstLine="703" w:firstLineChars="250"/>
        <w:rPr>
          <w:rFonts w:ascii="楷体_GB2312" w:eastAsia="楷体_GB2312"/>
          <w:b/>
          <w:sz w:val="28"/>
          <w:szCs w:val="28"/>
        </w:rPr>
      </w:pPr>
      <w:r>
        <w:rPr>
          <w:rFonts w:hint="eastAsia" w:ascii="楷体_GB2312" w:eastAsia="楷体_GB2312"/>
          <w:b/>
          <w:sz w:val="28"/>
          <w:szCs w:val="28"/>
        </w:rPr>
        <w:t>（二）投标人资格要求</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详见第一册第一章招标公告第二项“投标人资格要求”。</w:t>
      </w:r>
    </w:p>
    <w:p>
      <w:pPr>
        <w:ind w:firstLine="703" w:firstLineChars="250"/>
        <w:rPr>
          <w:rFonts w:ascii="楷体_GB2312" w:eastAsia="楷体_GB2312"/>
          <w:b/>
          <w:sz w:val="28"/>
          <w:szCs w:val="28"/>
        </w:rPr>
      </w:pPr>
      <w:r>
        <w:rPr>
          <w:rFonts w:hint="eastAsia" w:ascii="楷体_GB2312" w:eastAsia="楷体_GB2312"/>
          <w:b/>
          <w:sz w:val="28"/>
          <w:szCs w:val="28"/>
        </w:rPr>
        <w:t>（三）承租要求</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1、租赁期限：2年。（若政府征收或城市更新，合同自动终止，双方免责）</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2、交付要求：签订租赁合同的一个月内；</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3、租赁押金：2个月租金（以中标金额计算月租金）</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4、租金支付方式：按月支付，以银行转账形式支付给招标人账户。</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5、水电要求：按实际使用情况结算，由承租方自行支付。</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6、物业管理费要求：0元/月；</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7、公共设施维护费：0</w:t>
      </w:r>
      <w:r>
        <w:rPr>
          <w:rFonts w:asciiTheme="minorEastAsia" w:hAnsiTheme="minorEastAsia" w:eastAsiaTheme="minorEastAsia"/>
          <w:sz w:val="28"/>
          <w:szCs w:val="28"/>
        </w:rPr>
        <w:t>元/</w:t>
      </w:r>
      <w:r>
        <w:rPr>
          <w:rFonts w:hint="eastAsia" w:cs="Batang" w:asciiTheme="minorEastAsia" w:hAnsiTheme="minorEastAsia" w:eastAsiaTheme="minorEastAsia"/>
          <w:sz w:val="28"/>
          <w:szCs w:val="28"/>
        </w:rPr>
        <w:t>㎡</w:t>
      </w:r>
      <w:r>
        <w:rPr>
          <w:rFonts w:asciiTheme="minorEastAsia" w:hAnsiTheme="minorEastAsia" w:eastAsiaTheme="minorEastAsia"/>
          <w:sz w:val="28"/>
          <w:szCs w:val="28"/>
        </w:rPr>
        <w:t>/月；</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8、管理人员要求：要求中标人（承租方）落实一名厂长岗位工作，厂长的工资由中标人（承租人）支付，工资待遇按深圳当年度最低工资标准支付，并按劳动部门规定的工资涨幅作调整。</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9、本项目物业不得转租，改变租赁用途。</w:t>
      </w:r>
    </w:p>
    <w:p>
      <w:pPr>
        <w:ind w:firstLine="703" w:firstLineChars="250"/>
        <w:rPr>
          <w:rFonts w:ascii="楷体_GB2312" w:eastAsia="楷体_GB2312"/>
          <w:b/>
          <w:sz w:val="28"/>
          <w:szCs w:val="28"/>
        </w:rPr>
      </w:pPr>
      <w:r>
        <w:rPr>
          <w:rFonts w:hint="eastAsia" w:ascii="楷体_GB2312" w:eastAsia="楷体_GB2312"/>
          <w:b/>
          <w:sz w:val="28"/>
          <w:szCs w:val="28"/>
        </w:rPr>
        <w:t>（四）履约要求</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1、</w:t>
      </w:r>
      <w:r>
        <w:rPr>
          <w:rFonts w:asciiTheme="minorEastAsia" w:hAnsiTheme="minorEastAsia" w:eastAsiaTheme="minorEastAsia"/>
          <w:sz w:val="28"/>
          <w:szCs w:val="28"/>
        </w:rPr>
        <w:t>投标人须按时缴纳租金、</w:t>
      </w:r>
      <w:r>
        <w:rPr>
          <w:rFonts w:hint="eastAsia" w:asciiTheme="minorEastAsia" w:hAnsiTheme="minorEastAsia" w:eastAsiaTheme="minorEastAsia"/>
          <w:sz w:val="28"/>
          <w:szCs w:val="28"/>
        </w:rPr>
        <w:t>租赁押金、投标</w:t>
      </w:r>
      <w:r>
        <w:rPr>
          <w:rFonts w:asciiTheme="minorEastAsia" w:hAnsiTheme="minorEastAsia" w:eastAsiaTheme="minorEastAsia"/>
          <w:sz w:val="28"/>
          <w:szCs w:val="28"/>
        </w:rPr>
        <w:t>保证金等各项费用；</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2、</w:t>
      </w:r>
      <w:r>
        <w:rPr>
          <w:rFonts w:asciiTheme="minorEastAsia" w:hAnsiTheme="minorEastAsia" w:eastAsiaTheme="minorEastAsia"/>
          <w:sz w:val="28"/>
          <w:szCs w:val="28"/>
        </w:rPr>
        <w:t>投标人须负责物业使用期间的消防安全；</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3、</w:t>
      </w:r>
      <w:r>
        <w:rPr>
          <w:rFonts w:asciiTheme="minorEastAsia" w:hAnsiTheme="minorEastAsia" w:eastAsiaTheme="minorEastAsia"/>
          <w:sz w:val="28"/>
          <w:szCs w:val="28"/>
        </w:rPr>
        <w:t>物业使用前投标人自费、自行办理好相关政府要求的物业用途、消防、经营等证照和批文；</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4、</w:t>
      </w:r>
      <w:r>
        <w:rPr>
          <w:rFonts w:asciiTheme="minorEastAsia" w:hAnsiTheme="minorEastAsia" w:eastAsiaTheme="minorEastAsia"/>
          <w:sz w:val="28"/>
          <w:szCs w:val="28"/>
        </w:rPr>
        <w:t>投标人承租本物业，其从事的经营活动必须符合国家和地方相关法律法规、光明区产业政策和发展规划要求；</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5、</w:t>
      </w:r>
      <w:r>
        <w:rPr>
          <w:rFonts w:asciiTheme="minorEastAsia" w:hAnsiTheme="minorEastAsia" w:eastAsiaTheme="minorEastAsia"/>
          <w:sz w:val="28"/>
          <w:szCs w:val="28"/>
        </w:rPr>
        <w:t>投标人租用期间不得搭建</w:t>
      </w:r>
      <w:r>
        <w:rPr>
          <w:rFonts w:hint="eastAsia" w:asciiTheme="minorEastAsia" w:hAnsiTheme="minorEastAsia" w:eastAsiaTheme="minorEastAsia"/>
          <w:sz w:val="28"/>
          <w:szCs w:val="28"/>
        </w:rPr>
        <w:t>，违建</w:t>
      </w:r>
      <w:r>
        <w:rPr>
          <w:rFonts w:asciiTheme="minorEastAsia" w:hAnsiTheme="minorEastAsia" w:eastAsiaTheme="minorEastAsia"/>
          <w:sz w:val="28"/>
          <w:szCs w:val="28"/>
        </w:rPr>
        <w:t>任何建筑物；</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6、</w:t>
      </w:r>
      <w:r>
        <w:rPr>
          <w:rFonts w:asciiTheme="minorEastAsia" w:hAnsiTheme="minorEastAsia" w:eastAsiaTheme="minorEastAsia"/>
          <w:sz w:val="28"/>
          <w:szCs w:val="28"/>
        </w:rPr>
        <w:t>投标人的房屋装修图纸须经招标人审查同意，且不得损害房屋主体结构，影响房屋使用安全；</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7、</w:t>
      </w:r>
      <w:r>
        <w:rPr>
          <w:rFonts w:asciiTheme="minorEastAsia" w:hAnsiTheme="minorEastAsia" w:eastAsiaTheme="minorEastAsia"/>
          <w:sz w:val="28"/>
          <w:szCs w:val="28"/>
        </w:rPr>
        <w:t>投标人不得将物业转租、分租</w:t>
      </w:r>
      <w:r>
        <w:rPr>
          <w:rFonts w:hint="eastAsia" w:asciiTheme="minorEastAsia" w:hAnsiTheme="minorEastAsia" w:eastAsiaTheme="minorEastAsia"/>
          <w:sz w:val="28"/>
          <w:szCs w:val="28"/>
        </w:rPr>
        <w:t>、须实行自行经营模式</w:t>
      </w:r>
      <w:r>
        <w:rPr>
          <w:rFonts w:asciiTheme="minorEastAsia" w:hAnsiTheme="minorEastAsia" w:eastAsiaTheme="minorEastAsia"/>
          <w:sz w:val="28"/>
          <w:szCs w:val="28"/>
        </w:rPr>
        <w:t>；</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8、</w:t>
      </w:r>
      <w:r>
        <w:rPr>
          <w:rFonts w:asciiTheme="minorEastAsia" w:hAnsiTheme="minorEastAsia" w:eastAsiaTheme="minorEastAsia"/>
          <w:sz w:val="28"/>
          <w:szCs w:val="28"/>
        </w:rPr>
        <w:t>投标人为不涉及粉尘、喷油、危险化学品生产、电镀、电池、珍珠棉、泡沫、家私等不符合安全要求的企业；</w:t>
      </w:r>
      <w:r>
        <w:rPr>
          <w:rFonts w:hint="eastAsia" w:asciiTheme="minorEastAsia" w:hAnsiTheme="minorEastAsia" w:eastAsiaTheme="minorEastAsia"/>
          <w:sz w:val="28"/>
          <w:szCs w:val="28"/>
        </w:rPr>
        <w:t>只允许（工业、宿舍为主)使用；</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9、</w:t>
      </w:r>
      <w:r>
        <w:rPr>
          <w:rFonts w:asciiTheme="minorEastAsia" w:hAnsiTheme="minorEastAsia" w:eastAsiaTheme="minorEastAsia"/>
          <w:sz w:val="28"/>
          <w:szCs w:val="28"/>
        </w:rPr>
        <w:t>投标人承租后不得变更租赁物业用途；</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10、</w:t>
      </w:r>
      <w:r>
        <w:rPr>
          <w:rFonts w:asciiTheme="minorEastAsia" w:hAnsiTheme="minorEastAsia" w:eastAsiaTheme="minorEastAsia"/>
          <w:sz w:val="28"/>
          <w:szCs w:val="28"/>
        </w:rPr>
        <w:t>到期退租，投标人应按时缴清租金及各项费用；</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11、</w:t>
      </w:r>
      <w:r>
        <w:rPr>
          <w:rFonts w:asciiTheme="minorEastAsia" w:hAnsiTheme="minorEastAsia" w:eastAsiaTheme="minorEastAsia"/>
          <w:sz w:val="28"/>
          <w:szCs w:val="28"/>
        </w:rPr>
        <w:t>所经营项目如需有关部门审批的，须获得审批；</w:t>
      </w:r>
    </w:p>
    <w:p>
      <w:pPr>
        <w:ind w:firstLine="700" w:firstLineChars="250"/>
        <w:rPr>
          <w:rFonts w:ascii="仿宋_GB2312" w:eastAsia="仿宋_GB2312"/>
          <w:sz w:val="28"/>
          <w:szCs w:val="28"/>
        </w:rPr>
      </w:pPr>
      <w:r>
        <w:rPr>
          <w:rFonts w:hint="eastAsia" w:asciiTheme="minorEastAsia" w:hAnsiTheme="minorEastAsia" w:eastAsiaTheme="minorEastAsia"/>
          <w:sz w:val="28"/>
          <w:szCs w:val="28"/>
        </w:rPr>
        <w:t>12、</w:t>
      </w:r>
      <w:r>
        <w:rPr>
          <w:rFonts w:asciiTheme="minorEastAsia" w:hAnsiTheme="minorEastAsia" w:eastAsiaTheme="minorEastAsia"/>
          <w:sz w:val="28"/>
          <w:szCs w:val="28"/>
        </w:rPr>
        <w:t>物业禁止危化行业及对环境影响大的行业使用。</w:t>
      </w:r>
    </w:p>
    <w:p>
      <w:pPr>
        <w:ind w:firstLine="562" w:firstLineChars="200"/>
        <w:rPr>
          <w:rFonts w:ascii="楷体_GB2312" w:eastAsia="楷体_GB2312"/>
          <w:b/>
          <w:sz w:val="28"/>
          <w:szCs w:val="28"/>
        </w:rPr>
      </w:pPr>
      <w:r>
        <w:rPr>
          <w:rFonts w:hint="eastAsia" w:ascii="楷体_GB2312" w:eastAsia="楷体_GB2312"/>
          <w:b/>
          <w:sz w:val="28"/>
          <w:szCs w:val="28"/>
        </w:rPr>
        <w:t>（五）入驻企业评估告知</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本项目涉及厂房、宿舍或相关配套办公用房，根据《光明区产业空间管理暂行办法》（深光府规〔</w:t>
      </w:r>
      <w:r>
        <w:rPr>
          <w:rFonts w:asciiTheme="minorEastAsia" w:hAnsiTheme="minorEastAsia" w:eastAsiaTheme="minorEastAsia"/>
          <w:sz w:val="28"/>
          <w:szCs w:val="28"/>
        </w:rPr>
        <w:t>2019〕11号）第十二条规定，区工业和信息化局、市生态环境局光明管理局、区应急管理局自收到拟入驻企业信息后，3个工作日内对拟入驻企业进行评估，评估符合标准的拟入驻企业方可入驻。其中，对在区“三资”交易平台交易的集体物业，评估符合标准的方可参与投标。</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有投标意向的意向方，须在投标报名截止时间前通过在“光明招商网</w:t>
      </w:r>
      <w:r>
        <w:fldChar w:fldCharType="begin"/>
      </w:r>
      <w:r>
        <w:instrText xml:space="preserve"> HYPERLINK "http://www.gmcyzs.com/" </w:instrText>
      </w:r>
      <w:r>
        <w:fldChar w:fldCharType="separate"/>
      </w:r>
      <w:r>
        <w:rPr>
          <w:rStyle w:val="16"/>
          <w:rFonts w:asciiTheme="minorEastAsia" w:hAnsiTheme="minorEastAsia" w:eastAsiaTheme="minorEastAsia"/>
          <w:sz w:val="28"/>
          <w:szCs w:val="28"/>
        </w:rPr>
        <w:t>http://www.gmcyzs.com/</w:t>
      </w:r>
      <w:r>
        <w:rPr>
          <w:rStyle w:val="16"/>
          <w:rFonts w:asciiTheme="minorEastAsia" w:hAnsiTheme="minorEastAsia" w:eastAsiaTheme="minorEastAsia"/>
          <w:sz w:val="28"/>
          <w:szCs w:val="28"/>
        </w:rPr>
        <w:fldChar w:fldCharType="end"/>
      </w:r>
      <w:r>
        <w:rPr>
          <w:rFonts w:hint="eastAsia" w:asciiTheme="minorEastAsia" w:hAnsiTheme="minorEastAsia" w:eastAsiaTheme="minorEastAsia"/>
          <w:sz w:val="28"/>
          <w:szCs w:val="28"/>
        </w:rPr>
        <w:t>注册登录个人中心，选择 “集体物业招标登记”-“招投标企业前置评估”自行完成信息填报</w:t>
      </w:r>
      <w:r>
        <w:rPr>
          <w:rFonts w:asciiTheme="minorEastAsia" w:hAnsiTheme="minorEastAsia" w:eastAsiaTheme="minorEastAsia"/>
          <w:sz w:val="28"/>
          <w:szCs w:val="28"/>
        </w:rPr>
        <w:t>，</w:t>
      </w:r>
      <w:r>
        <w:rPr>
          <w:rFonts w:hint="eastAsia" w:asciiTheme="minorEastAsia" w:hAnsiTheme="minorEastAsia" w:eastAsiaTheme="minorEastAsia"/>
          <w:sz w:val="28"/>
          <w:szCs w:val="28"/>
        </w:rPr>
        <w:t>并告知区工业和信息化局进行评估，</w:t>
      </w:r>
      <w:r>
        <w:rPr>
          <w:rFonts w:asciiTheme="minorEastAsia" w:hAnsiTheme="minorEastAsia" w:eastAsiaTheme="minorEastAsia"/>
          <w:sz w:val="28"/>
          <w:szCs w:val="28"/>
        </w:rPr>
        <w:t>咨询方式：详见光明招商网或QQ群743330588</w:t>
      </w:r>
      <w:r>
        <w:rPr>
          <w:rFonts w:hint="eastAsia" w:asciiTheme="minorEastAsia" w:hAnsiTheme="minorEastAsia" w:eastAsiaTheme="minorEastAsia"/>
          <w:sz w:val="28"/>
          <w:szCs w:val="28"/>
        </w:rPr>
        <w:t>。</w:t>
      </w:r>
    </w:p>
    <w:p>
      <w:pPr>
        <w:ind w:firstLine="700" w:firstLineChars="250"/>
        <w:rPr>
          <w:rFonts w:asciiTheme="minorEastAsia" w:hAnsiTheme="minorEastAsia" w:eastAsiaTheme="minorEastAsia"/>
          <w:sz w:val="28"/>
          <w:szCs w:val="28"/>
        </w:rPr>
      </w:pPr>
      <w:r>
        <w:rPr>
          <w:rFonts w:hint="eastAsia" w:asciiTheme="minorEastAsia" w:hAnsiTheme="minorEastAsia" w:eastAsiaTheme="minorEastAsia"/>
          <w:sz w:val="28"/>
          <w:szCs w:val="28"/>
        </w:rPr>
        <w:t>意向方应注意填报的信息要准确无误，因填报失误导致评估失败的而不能参与投标的，后果自行负责。产业评估结果咨询：环保评估咨询：</w:t>
      </w:r>
      <w:r>
        <w:rPr>
          <w:rFonts w:asciiTheme="minorEastAsia" w:hAnsiTheme="minorEastAsia" w:eastAsiaTheme="minorEastAsia"/>
          <w:sz w:val="28"/>
          <w:szCs w:val="28"/>
        </w:rPr>
        <w:t>0755-27402234</w:t>
      </w:r>
      <w:r>
        <w:rPr>
          <w:rFonts w:hint="eastAsia" w:asciiTheme="minorEastAsia" w:hAnsiTheme="minorEastAsia" w:eastAsiaTheme="minorEastAsia"/>
          <w:sz w:val="28"/>
          <w:szCs w:val="28"/>
        </w:rPr>
        <w:t>、安监评估咨询：</w:t>
      </w:r>
      <w:r>
        <w:rPr>
          <w:rFonts w:asciiTheme="minorEastAsia" w:hAnsiTheme="minorEastAsia" w:eastAsiaTheme="minorEastAsia"/>
          <w:sz w:val="28"/>
          <w:szCs w:val="28"/>
        </w:rPr>
        <w:t>0755-88212352</w:t>
      </w:r>
      <w:r>
        <w:rPr>
          <w:rFonts w:hint="eastAsia" w:asciiTheme="minorEastAsia" w:hAnsiTheme="minorEastAsia" w:eastAsiaTheme="minorEastAsia"/>
          <w:sz w:val="28"/>
          <w:szCs w:val="28"/>
        </w:rPr>
        <w:t>、工信评估咨询：</w:t>
      </w:r>
      <w:r>
        <w:rPr>
          <w:rFonts w:asciiTheme="minorEastAsia" w:hAnsiTheme="minorEastAsia" w:eastAsiaTheme="minorEastAsia"/>
          <w:sz w:val="28"/>
          <w:szCs w:val="28"/>
        </w:rPr>
        <w:t>0755-88210452</w:t>
      </w:r>
      <w:r>
        <w:rPr>
          <w:rFonts w:hint="eastAsia" w:asciiTheme="minorEastAsia" w:hAnsiTheme="minorEastAsia" w:eastAsiaTheme="minorEastAsia"/>
          <w:sz w:val="28"/>
          <w:szCs w:val="28"/>
        </w:rPr>
        <w:t>。</w:t>
      </w:r>
    </w:p>
    <w:p>
      <w:pPr>
        <w:pStyle w:val="5"/>
        <w:ind w:left="0" w:firstLine="643" w:firstLineChars="200"/>
        <w:rPr>
          <w:rFonts w:ascii="黑体" w:hAnsi="黑体" w:eastAsia="黑体"/>
          <w:sz w:val="32"/>
          <w:szCs w:val="32"/>
        </w:rPr>
      </w:pPr>
      <w:bookmarkStart w:id="10" w:name="五、履约条件"/>
      <w:bookmarkEnd w:id="10"/>
      <w:r>
        <w:rPr>
          <w:rFonts w:ascii="黑体" w:hAnsi="黑体" w:eastAsia="黑体"/>
          <w:sz w:val="32"/>
          <w:szCs w:val="32"/>
          <w:lang w:val="en-US" w:bidi="ar-SA"/>
        </w:rPr>
        <w:pict>
          <v:shape id="任意多边形 10" o:spid="_x0000_s1026" style="position:absolute;left:0pt;margin-left:519.2pt;margin-top:284.55pt;height:24.1pt;width:97.4pt;mso-position-horizontal-relative:page;mso-position-vertical-relative:page;z-index:-251656192;mso-width-relative:page;mso-height-relative:page;" filled="f" stroked="f" coordsize="194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" path="m1948,0l684,0,263,0,0,0,0,482,263,482,684,482,1948,482,1948,0e">
            <v:path o:connecttype="custom" o:connectlocs="@1,@1;@1,@1;@1,@1;@1,@1;@1,@1;@1,@1;@1,@1;@1,@1;@1,@1" o:connectangles="0,0,0,0,0,0,0,0,0"/>
            <v:fill on="f" focussize="0,0"/>
            <v:stroke on="f"/>
            <v:imagedata o:title=""/>
            <o:lock v:ext="edit"/>
          </v:shape>
        </w:pict>
      </w: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玉塘街道重点产业发展导向指引</w:t>
      </w:r>
    </w:p>
    <w:p>
      <w:pPr>
        <w:tabs>
          <w:tab w:val="left" w:pos="9460"/>
          <w:tab w:val="left" w:pos="9900"/>
        </w:tabs>
        <w:spacing w:line="360" w:lineRule="auto"/>
        <w:ind w:left="440" w:leftChars="200" w:right="449" w:rightChars="204"/>
        <w:jc w:val="both"/>
        <w:rPr>
          <w:b/>
          <w:bCs/>
          <w:sz w:val="21"/>
          <w:szCs w:val="21"/>
        </w:rPr>
      </w:pPr>
      <w:r>
        <w:rPr>
          <w:rFonts w:hint="eastAsia"/>
          <w:b/>
          <w:bCs/>
          <w:sz w:val="21"/>
          <w:szCs w:val="21"/>
        </w:rPr>
        <w:t>1.新一代信息技术产业（A06）</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A0601</w:t>
      </w:r>
      <w:r>
        <w:rPr>
          <w:rFonts w:hint="eastAsia"/>
          <w:sz w:val="21"/>
          <w:szCs w:val="21"/>
        </w:rPr>
        <w:t xml:space="preserve"> 基于4G和5G（包括LTE、IMT-Advanced、IMT-2020等无线宽带通信技术及其后续演进技术）的接入网设备、核心网设备等新一代移动通信设备</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A0602</w:t>
      </w:r>
      <w:r>
        <w:rPr>
          <w:rFonts w:hint="eastAsia"/>
          <w:sz w:val="21"/>
          <w:szCs w:val="21"/>
        </w:rPr>
        <w:t xml:space="preserve"> 高端路由器、宽带网络接入服务器、以太网交换机、三层交换机等下一代互联网设备、无源光网络（PON）接入设备、自动交换光网络（ASON）设备、光传送网（OTN）设备、分组传送网（PTN）设备、多业务传送（MSTP）设备等</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A0607</w:t>
      </w:r>
      <w:r>
        <w:rPr>
          <w:rFonts w:hint="eastAsia"/>
          <w:sz w:val="21"/>
          <w:szCs w:val="21"/>
        </w:rPr>
        <w:t xml:space="preserve"> 微机电系统（MEMS）传感器、智能传感器、多功能传感器、化学及生物量传感器等传感器及节点设备，RFID读写机具/标签、物联网终端设备、近距离无线通信节点设备、M2M网关等各类物联网网关、全球定位系统（GPS）终端与设备、实时定位系统（RTLS）等物联网设备</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A0610</w:t>
      </w:r>
      <w:r>
        <w:rPr>
          <w:rFonts w:hint="eastAsia"/>
          <w:sz w:val="21"/>
          <w:szCs w:val="21"/>
        </w:rPr>
        <w:t xml:space="preserve"> 智能手机、手持平板电脑、移动电子书终端、移动电视、手机电视、车载智能终端等新一代移动终端设备</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A0616</w:t>
      </w:r>
      <w:r>
        <w:rPr>
          <w:rFonts w:hint="eastAsia"/>
          <w:sz w:val="21"/>
          <w:szCs w:val="21"/>
        </w:rPr>
        <w:t xml:space="preserve"> 高分辨率液晶显示器（TFT-LCD）面板（基板尺寸4.5代及以上）、OLED显示器面板、激光显示器件、柔性显示器件、3D显示产品等新型屏显示器件</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A0617</w:t>
      </w:r>
      <w:r>
        <w:rPr>
          <w:rFonts w:hint="eastAsia"/>
          <w:sz w:val="21"/>
          <w:szCs w:val="21"/>
        </w:rPr>
        <w:t xml:space="preserve"> 新型电子元器件，包括片式元器件、频率元器件、混合集成电路、电力电子器件、光电子器件、敏感元器件及传感器、新型机电元件、高密度印刷电路板和柔性电路板等</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A0622</w:t>
      </w:r>
      <w:r>
        <w:rPr>
          <w:rFonts w:hint="eastAsia"/>
          <w:sz w:val="21"/>
          <w:szCs w:val="21"/>
        </w:rPr>
        <w:t xml:space="preserve"> 数字化、智能化、网络化工业自动检测仪表与传感器，原位在线成份分析仪器，具有无线通信功能的低功耗智能传感器，电磁兼容检测设备，智能电网用智能电表（具有发送和接收信号、自诊断、数据处理功能），光纤传感器</w:t>
      </w:r>
    </w:p>
    <w:p>
      <w:pPr>
        <w:tabs>
          <w:tab w:val="left" w:pos="9460"/>
          <w:tab w:val="left" w:pos="9900"/>
        </w:tabs>
        <w:spacing w:line="360" w:lineRule="auto"/>
        <w:ind w:left="440" w:leftChars="200" w:right="449" w:rightChars="204"/>
        <w:jc w:val="both"/>
        <w:rPr>
          <w:b/>
          <w:bCs/>
          <w:sz w:val="21"/>
          <w:szCs w:val="21"/>
        </w:rPr>
      </w:pPr>
      <w:r>
        <w:rPr>
          <w:rFonts w:hint="eastAsia"/>
          <w:b/>
          <w:bCs/>
          <w:sz w:val="21"/>
          <w:szCs w:val="21"/>
        </w:rPr>
        <w:t>2.生物产业（A01）</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A0111</w:t>
      </w:r>
      <w:r>
        <w:rPr>
          <w:rFonts w:hint="eastAsia"/>
          <w:sz w:val="21"/>
          <w:szCs w:val="21"/>
        </w:rPr>
        <w:t xml:space="preserve"> 临床诊断的新型数字成像技术，多模态医学影像融合成像与处理技术，专用新型彩色超声诊断技术与高性能超声诊断设备，人体内窥镜的微型摄像技术与高清柔性电子内窥镜设备</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A0114</w:t>
      </w:r>
      <w:r>
        <w:rPr>
          <w:rFonts w:hint="eastAsia"/>
          <w:sz w:val="21"/>
          <w:szCs w:val="21"/>
        </w:rPr>
        <w:t xml:space="preserve"> 多普勒OCT血流成像仪、超声骨密测度仪，智能诊查胶囊等医疗微系统，乳腺癌/胃癌/肺癌/宫颈癌等重大慢性病筛查诊断设备，人体传感网络等医用检查检验仪器</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A0115</w:t>
      </w:r>
      <w:r>
        <w:rPr>
          <w:rFonts w:hint="eastAsia"/>
          <w:sz w:val="21"/>
          <w:szCs w:val="21"/>
        </w:rPr>
        <w:t xml:space="preserve"> 重离子治疗设备、质子治疗设备，基于电子直线加速器的快速调强放疗系统，高强度聚焦超声（HIFU）治疗设备，磁感应热疗系统，射频/微波/氩氦刀等肿瘤消融治疗设备</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A0117</w:t>
      </w:r>
      <w:r>
        <w:rPr>
          <w:rFonts w:hint="eastAsia"/>
          <w:sz w:val="21"/>
          <w:szCs w:val="21"/>
        </w:rPr>
        <w:t xml:space="preserve"> 各类有创及无创呼吸机，持续血液净化系统，血液透析机，腹膜透析机，人工肝治疗仪，血液灌流、血浆吸附及血浆置换设备和耗材，人工心肺机，左心辅助装置，自动除颤器等生命支持设备、专科治疗设备</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A0120</w:t>
      </w:r>
      <w:r>
        <w:rPr>
          <w:rFonts w:hint="eastAsia"/>
          <w:sz w:val="21"/>
          <w:szCs w:val="21"/>
        </w:rPr>
        <w:t xml:space="preserve"> CT高分辨探测器、DR数字探测器、X射线机高压电源的装置技术，微焦斑与高功率的高分辨X射线管新型装置技术，医用高性能超声探头技术，放射治疗的射线计量检测技术等</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A0122</w:t>
      </w:r>
      <w:r>
        <w:rPr>
          <w:rFonts w:hint="eastAsia"/>
          <w:sz w:val="21"/>
          <w:szCs w:val="21"/>
        </w:rPr>
        <w:t xml:space="preserve"> 可注射陶瓷、可降解固定材料、新型低模量钛合金制备技术，医用镁合金等骨修复材料、生物陶瓷类骨修复材料、活性硅酸钙/磷酸钙复合骨水泥、脊柱修复材料和功能仿生型人工关节、表面生物功能化人工关节及制备技术，骨诱导功能人工骨、功能仿生型人工骨制备技术等</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A0123</w:t>
      </w:r>
      <w:r>
        <w:rPr>
          <w:rFonts w:hint="eastAsia"/>
          <w:sz w:val="21"/>
          <w:szCs w:val="21"/>
        </w:rPr>
        <w:t xml:space="preserve"> 医用激光器、眼科准分子激光治疗仪、内镜激光治疗仪、泌尿激光治疗仪、光动力治疗设备等激光治疗设备</w:t>
      </w:r>
    </w:p>
    <w:p>
      <w:pPr>
        <w:tabs>
          <w:tab w:val="left" w:pos="9460"/>
          <w:tab w:val="left" w:pos="9900"/>
        </w:tabs>
        <w:spacing w:line="360" w:lineRule="auto"/>
        <w:ind w:left="440" w:leftChars="200" w:right="449" w:rightChars="204"/>
        <w:jc w:val="both"/>
        <w:rPr>
          <w:b/>
          <w:bCs/>
          <w:sz w:val="21"/>
          <w:szCs w:val="21"/>
        </w:rPr>
      </w:pPr>
      <w:r>
        <w:rPr>
          <w:rFonts w:hint="eastAsia"/>
          <w:b/>
          <w:bCs/>
          <w:sz w:val="21"/>
          <w:szCs w:val="21"/>
        </w:rPr>
        <w:t>3.新能源产业（A02）</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 xml:space="preserve">A0201 </w:t>
      </w:r>
      <w:r>
        <w:rPr>
          <w:rFonts w:hint="eastAsia"/>
          <w:sz w:val="21"/>
          <w:szCs w:val="21"/>
        </w:rPr>
        <w:t>纯电动汽车、插电式混合动力汽车和燃料电池汽车等新能源汽车整车制造</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A0202</w:t>
      </w:r>
      <w:r>
        <w:rPr>
          <w:rFonts w:hint="eastAsia"/>
          <w:sz w:val="21"/>
          <w:szCs w:val="21"/>
        </w:rPr>
        <w:t xml:space="preserve"> 新能源汽车关键零部件：能量型动力电池组（能量密度≥110Wh/kg，循环寿命≥2000次），电池正极材料（比容量≥150mAh/g，循环寿命2000次不低于初始放电容量的80%），电池隔膜（厚度15～40μm，孔隙率40%～60%）；电池管理系统，电机管理系统，电动汽车电控集成；电动汽车驱动电机（峰值功率密度≥2.5kW/kg，高效区：65%工作区效率≥80%），车用DC/DC（输入电压100V～400V），大功率电子器件（IGBT，电压等级≥600V，电流≥300A）；插电式混合动力机电耦合驱动系统</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 xml:space="preserve">A0203 </w:t>
      </w:r>
      <w:r>
        <w:rPr>
          <w:rFonts w:hint="eastAsia"/>
          <w:sz w:val="21"/>
          <w:szCs w:val="21"/>
        </w:rPr>
        <w:t>车载充电机、非车载充电设备</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A0204</w:t>
      </w:r>
      <w:r>
        <w:rPr>
          <w:rFonts w:hint="eastAsia"/>
          <w:sz w:val="21"/>
          <w:szCs w:val="21"/>
        </w:rPr>
        <w:t xml:space="preserve"> 新能源汽车配套装置，包括充/换电站、充电桩，天然气汽车配套加气站等</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 xml:space="preserve">A0205 </w:t>
      </w:r>
      <w:r>
        <w:rPr>
          <w:rFonts w:hint="eastAsia"/>
          <w:sz w:val="21"/>
          <w:szCs w:val="21"/>
        </w:rPr>
        <w:t>新能源汽车动力电池回收及再制造技术及装备</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A0206</w:t>
      </w:r>
      <w:r>
        <w:rPr>
          <w:rFonts w:hint="eastAsia"/>
          <w:sz w:val="21"/>
          <w:szCs w:val="21"/>
        </w:rPr>
        <w:t xml:space="preserve"> 新能源汽车产品开发、试验、检测设备及设施建设</w:t>
      </w:r>
    </w:p>
    <w:p>
      <w:pPr>
        <w:tabs>
          <w:tab w:val="left" w:pos="9460"/>
          <w:tab w:val="left" w:pos="9900"/>
        </w:tabs>
        <w:spacing w:line="360" w:lineRule="auto"/>
        <w:ind w:left="440" w:leftChars="200" w:right="449" w:rightChars="204"/>
        <w:jc w:val="both"/>
        <w:rPr>
          <w:sz w:val="21"/>
          <w:szCs w:val="21"/>
        </w:rPr>
      </w:pPr>
      <w:r>
        <w:rPr>
          <w:rFonts w:hint="eastAsia"/>
          <w:sz w:val="21"/>
          <w:szCs w:val="21"/>
        </w:rPr>
        <w:t>4. 文化创意产业（A05）</w:t>
      </w:r>
    </w:p>
    <w:p>
      <w:pPr>
        <w:tabs>
          <w:tab w:val="left" w:pos="9460"/>
          <w:tab w:val="left" w:pos="9900"/>
        </w:tabs>
        <w:spacing w:line="360" w:lineRule="auto"/>
        <w:ind w:left="440" w:leftChars="200" w:right="449" w:rightChars="204"/>
        <w:jc w:val="both"/>
        <w:rPr>
          <w:sz w:val="21"/>
          <w:szCs w:val="21"/>
        </w:rPr>
      </w:pPr>
      <w:r>
        <w:rPr>
          <w:rFonts w:hint="eastAsia"/>
          <w:b/>
          <w:bCs/>
          <w:sz w:val="21"/>
          <w:szCs w:val="21"/>
        </w:rPr>
        <w:t>A0501</w:t>
      </w:r>
      <w:r>
        <w:rPr>
          <w:rFonts w:hint="eastAsia"/>
          <w:sz w:val="21"/>
          <w:szCs w:val="21"/>
        </w:rPr>
        <w:t xml:space="preserve"> 工业设计、平面设计、时装设计、城市与建筑设计、室内设计、广告创意与设计、装帧设计</w:t>
      </w:r>
    </w:p>
    <w:p>
      <w:pPr>
        <w:tabs>
          <w:tab w:val="left" w:pos="9460"/>
          <w:tab w:val="left" w:pos="9900"/>
        </w:tabs>
        <w:spacing w:line="360" w:lineRule="auto"/>
        <w:ind w:left="440" w:leftChars="200" w:right="449" w:rightChars="204"/>
        <w:jc w:val="both"/>
        <w:rPr>
          <w:b/>
          <w:bCs/>
          <w:sz w:val="21"/>
          <w:szCs w:val="21"/>
        </w:rPr>
      </w:pPr>
      <w:r>
        <w:rPr>
          <w:rFonts w:hint="eastAsia"/>
          <w:b/>
          <w:bCs/>
          <w:sz w:val="21"/>
          <w:szCs w:val="21"/>
        </w:rPr>
        <w:t>5.优势传统产业（A20）</w:t>
      </w:r>
    </w:p>
    <w:p>
      <w:pPr>
        <w:pStyle w:val="4"/>
        <w:tabs>
          <w:tab w:val="left" w:pos="962"/>
        </w:tabs>
        <w:spacing w:before="1"/>
        <w:ind w:left="0" w:right="375"/>
        <w:jc w:val="center"/>
        <w:rPr>
          <w:rFonts w:eastAsiaTheme="minorEastAsia"/>
          <w:sz w:val="21"/>
          <w:szCs w:val="21"/>
        </w:rPr>
      </w:pPr>
      <w:r>
        <w:rPr>
          <w:rFonts w:hint="eastAsia"/>
          <w:sz w:val="21"/>
          <w:szCs w:val="21"/>
        </w:rPr>
        <w:t>A2007 大型、精密、复杂、长寿命模具的设计制造，注塑模、压铸模、冲压模</w:t>
      </w:r>
    </w:p>
    <w:p>
      <w:pPr>
        <w:pStyle w:val="4"/>
        <w:tabs>
          <w:tab w:val="left" w:pos="962"/>
        </w:tabs>
        <w:spacing w:before="1"/>
        <w:ind w:left="0" w:right="375"/>
        <w:jc w:val="center"/>
        <w:rPr>
          <w:rFonts w:eastAsiaTheme="minorEastAsia"/>
          <w:sz w:val="21"/>
          <w:szCs w:val="21"/>
        </w:rPr>
      </w:pPr>
    </w:p>
    <w:p>
      <w:pPr>
        <w:pStyle w:val="4"/>
        <w:tabs>
          <w:tab w:val="left" w:pos="962"/>
        </w:tabs>
        <w:spacing w:before="1"/>
        <w:ind w:left="0" w:right="375"/>
        <w:jc w:val="center"/>
        <w:rPr>
          <w:rFonts w:eastAsiaTheme="minorEastAsia"/>
          <w:sz w:val="21"/>
          <w:szCs w:val="21"/>
        </w:rPr>
      </w:pPr>
    </w:p>
    <w:p>
      <w:pPr>
        <w:pStyle w:val="4"/>
        <w:tabs>
          <w:tab w:val="left" w:pos="962"/>
        </w:tabs>
        <w:spacing w:before="1"/>
        <w:ind w:left="0" w:right="375"/>
        <w:jc w:val="center"/>
        <w:rPr>
          <w:rFonts w:eastAsiaTheme="minorEastAsia"/>
          <w:sz w:val="21"/>
          <w:szCs w:val="21"/>
        </w:rPr>
      </w:pPr>
    </w:p>
    <w:p>
      <w:pPr>
        <w:pStyle w:val="4"/>
        <w:tabs>
          <w:tab w:val="left" w:pos="962"/>
        </w:tabs>
        <w:spacing w:before="1"/>
        <w:ind w:left="0" w:right="375"/>
        <w:jc w:val="center"/>
        <w:rPr>
          <w:rFonts w:eastAsiaTheme="minorEastAsia"/>
          <w:sz w:val="21"/>
          <w:szCs w:val="21"/>
        </w:rPr>
      </w:pPr>
    </w:p>
    <w:p>
      <w:pPr>
        <w:pStyle w:val="4"/>
        <w:tabs>
          <w:tab w:val="left" w:pos="962"/>
        </w:tabs>
        <w:spacing w:before="1"/>
        <w:ind w:left="0" w:right="375"/>
        <w:jc w:val="center"/>
        <w:rPr>
          <w:rFonts w:eastAsiaTheme="minorEastAsia"/>
          <w:sz w:val="21"/>
          <w:szCs w:val="21"/>
        </w:rPr>
      </w:pPr>
    </w:p>
    <w:p>
      <w:pPr>
        <w:pStyle w:val="4"/>
        <w:tabs>
          <w:tab w:val="left" w:pos="962"/>
        </w:tabs>
        <w:spacing w:before="1"/>
        <w:ind w:left="0" w:right="375"/>
        <w:jc w:val="center"/>
        <w:rPr>
          <w:rFonts w:eastAsiaTheme="minorEastAsia"/>
          <w:sz w:val="21"/>
          <w:szCs w:val="21"/>
        </w:rPr>
      </w:pPr>
    </w:p>
    <w:p>
      <w:pPr>
        <w:pStyle w:val="4"/>
        <w:tabs>
          <w:tab w:val="left" w:pos="962"/>
        </w:tabs>
        <w:spacing w:before="1"/>
        <w:ind w:left="0" w:right="375"/>
        <w:jc w:val="center"/>
        <w:rPr>
          <w:rFonts w:eastAsiaTheme="minorEastAsia"/>
          <w:sz w:val="21"/>
          <w:szCs w:val="21"/>
        </w:rPr>
      </w:pPr>
    </w:p>
    <w:p>
      <w:pPr>
        <w:pStyle w:val="4"/>
        <w:tabs>
          <w:tab w:val="left" w:pos="962"/>
        </w:tabs>
        <w:spacing w:before="1"/>
        <w:ind w:left="0" w:right="375"/>
        <w:jc w:val="center"/>
        <w:rPr>
          <w:rFonts w:eastAsiaTheme="minorEastAsia"/>
          <w:sz w:val="21"/>
          <w:szCs w:val="21"/>
        </w:rPr>
      </w:pPr>
    </w:p>
    <w:p>
      <w:pPr>
        <w:pStyle w:val="4"/>
        <w:tabs>
          <w:tab w:val="left" w:pos="962"/>
        </w:tabs>
        <w:spacing w:before="1"/>
        <w:ind w:left="0" w:right="375"/>
        <w:jc w:val="center"/>
        <w:rPr>
          <w:rFonts w:eastAsiaTheme="minorEastAsia"/>
          <w:sz w:val="21"/>
          <w:szCs w:val="21"/>
        </w:rPr>
      </w:pPr>
    </w:p>
    <w:p>
      <w:pPr>
        <w:pStyle w:val="4"/>
        <w:tabs>
          <w:tab w:val="left" w:pos="962"/>
        </w:tabs>
        <w:spacing w:before="1"/>
        <w:ind w:left="0" w:right="375"/>
        <w:jc w:val="center"/>
        <w:rPr>
          <w:rFonts w:eastAsiaTheme="minorEastAsia"/>
          <w:sz w:val="21"/>
          <w:szCs w:val="21"/>
        </w:rPr>
      </w:pPr>
    </w:p>
    <w:p/>
    <w:p>
      <w:pPr>
        <w:pStyle w:val="4"/>
        <w:tabs>
          <w:tab w:val="left" w:pos="962"/>
        </w:tabs>
        <w:spacing w:before="1"/>
        <w:ind w:left="0" w:right="375"/>
        <w:jc w:val="center"/>
        <w:rPr>
          <w:rFonts w:eastAsiaTheme="minorEastAsia"/>
          <w:sz w:val="21"/>
          <w:szCs w:val="21"/>
        </w:rPr>
      </w:pPr>
    </w:p>
    <w:p>
      <w:pPr>
        <w:pStyle w:val="4"/>
        <w:tabs>
          <w:tab w:val="left" w:pos="962"/>
        </w:tabs>
        <w:spacing w:before="1"/>
        <w:ind w:left="0" w:right="375"/>
        <w:jc w:val="center"/>
        <w:rPr>
          <w:rFonts w:eastAsiaTheme="minorEastAsia"/>
          <w:sz w:val="21"/>
          <w:szCs w:val="21"/>
        </w:rPr>
      </w:pPr>
    </w:p>
    <w:p>
      <w:pPr>
        <w:pStyle w:val="4"/>
        <w:tabs>
          <w:tab w:val="left" w:pos="962"/>
        </w:tabs>
        <w:spacing w:before="1"/>
        <w:ind w:left="0" w:right="375"/>
        <w:jc w:val="center"/>
        <w:rPr>
          <w:rFonts w:eastAsiaTheme="minorEastAsia"/>
          <w:sz w:val="21"/>
          <w:szCs w:val="21"/>
        </w:rPr>
      </w:pPr>
    </w:p>
    <w:p>
      <w:pPr>
        <w:pStyle w:val="4"/>
        <w:tabs>
          <w:tab w:val="left" w:pos="962"/>
        </w:tabs>
        <w:spacing w:before="1"/>
        <w:ind w:left="0" w:right="375"/>
        <w:jc w:val="center"/>
        <w:rPr>
          <w:rFonts w:ascii="黑体" w:hAnsi="黑体" w:eastAsia="黑体"/>
          <w:sz w:val="36"/>
          <w:szCs w:val="36"/>
        </w:rPr>
      </w:pPr>
      <w:r>
        <w:rPr>
          <w:rFonts w:ascii="黑体" w:hAnsi="黑体" w:eastAsia="黑体"/>
          <w:sz w:val="36"/>
          <w:szCs w:val="36"/>
        </w:rPr>
        <w:t>第三章 投标文件格式、附件</w:t>
      </w:r>
    </w:p>
    <w:p/>
    <w:p/>
    <w:p/>
    <w:p/>
    <w:p/>
    <w:p/>
    <w:p/>
    <w:p>
      <w:pPr>
        <w:jc w:val="center"/>
        <w:rPr>
          <w:rFonts w:ascii="方正小标宋简体" w:eastAsia="方正小标宋简体" w:hAnsiTheme="minorEastAsia"/>
          <w:b/>
          <w:sz w:val="52"/>
          <w:szCs w:val="52"/>
        </w:rPr>
      </w:pPr>
      <w:r>
        <w:rPr>
          <w:rFonts w:hint="eastAsia" w:ascii="仿宋_GB2312" w:hAnsi="黑体" w:eastAsia="仿宋_GB2312"/>
          <w:sz w:val="48"/>
          <w:szCs w:val="32"/>
        </w:rPr>
        <w:t>光明区田寮社区第六工业区第4栋厂房及宿舍物业公开招标项目</w:t>
      </w:r>
      <w:r>
        <w:rPr>
          <w:rFonts w:hint="eastAsia" w:ascii="方正小标宋简体" w:eastAsia="方正小标宋简体" w:hAnsiTheme="minorEastAsia"/>
          <w:b/>
          <w:sz w:val="56"/>
          <w:szCs w:val="52"/>
        </w:rPr>
        <w:t xml:space="preserve"> </w:t>
      </w:r>
      <w:r>
        <w:rPr>
          <w:rFonts w:hint="eastAsia" w:ascii="方正小标宋简体" w:eastAsia="方正小标宋简体" w:hAnsiTheme="minorEastAsia"/>
          <w:b/>
          <w:sz w:val="52"/>
          <w:szCs w:val="52"/>
        </w:rPr>
        <w:t xml:space="preserve">          </w:t>
      </w:r>
    </w:p>
    <w:p>
      <w:pPr>
        <w:jc w:val="center"/>
        <w:rPr>
          <w:rFonts w:asciiTheme="minorEastAsia" w:hAnsiTheme="minorEastAsia" w:eastAsiaTheme="minorEastAsia"/>
          <w:b/>
          <w:sz w:val="52"/>
          <w:szCs w:val="52"/>
        </w:rPr>
      </w:pPr>
      <w:r>
        <w:rPr>
          <w:rFonts w:asciiTheme="minorEastAsia" w:hAnsiTheme="minorEastAsia" w:eastAsiaTheme="minorEastAsia"/>
          <w:b/>
          <w:sz w:val="52"/>
          <w:szCs w:val="52"/>
        </w:rPr>
        <w:t>投标文件</w:t>
      </w:r>
    </w:p>
    <w:p/>
    <w:p>
      <w:pPr>
        <w:rPr>
          <w:b/>
        </w:rPr>
      </w:pPr>
    </w:p>
    <w:p>
      <w:pPr>
        <w:rPr>
          <w:b/>
        </w:rPr>
      </w:pPr>
    </w:p>
    <w:p>
      <w:pPr>
        <w:jc w:val="center"/>
        <w:rPr>
          <w:b/>
          <w:sz w:val="52"/>
          <w:szCs w:val="52"/>
        </w:rPr>
      </w:pPr>
      <w:r>
        <w:rPr>
          <w:rFonts w:hint="eastAsia"/>
          <w:b/>
          <w:sz w:val="52"/>
          <w:szCs w:val="52"/>
        </w:rPr>
        <w:t>正本</w:t>
      </w:r>
    </w:p>
    <w:p>
      <w:pPr>
        <w:rPr>
          <w:rFonts w:asciiTheme="minorEastAsia" w:hAnsiTheme="minorEastAsia" w:eastAsiaTheme="minorEastAsia"/>
          <w:sz w:val="44"/>
          <w:szCs w:val="44"/>
        </w:rPr>
      </w:pPr>
    </w:p>
    <w:p>
      <w:pPr>
        <w:rPr>
          <w:rFonts w:asciiTheme="minorEastAsia" w:hAnsiTheme="minorEastAsia" w:eastAsiaTheme="minorEastAsia"/>
          <w:sz w:val="44"/>
          <w:szCs w:val="44"/>
        </w:rPr>
      </w:pPr>
    </w:p>
    <w:p>
      <w:pPr>
        <w:spacing w:line="480" w:lineRule="auto"/>
        <w:ind w:firstLine="720" w:firstLineChars="200"/>
        <w:rPr>
          <w:rFonts w:asciiTheme="minorEastAsia" w:hAnsiTheme="minorEastAsia" w:eastAsiaTheme="minorEastAsia"/>
          <w:sz w:val="36"/>
          <w:szCs w:val="36"/>
        </w:rPr>
      </w:pPr>
      <w:r>
        <w:rPr>
          <w:rFonts w:asciiTheme="minorEastAsia" w:hAnsiTheme="minorEastAsia" w:eastAsiaTheme="minorEastAsia"/>
          <w:sz w:val="36"/>
          <w:szCs w:val="36"/>
        </w:rPr>
        <w:t>项目编号：_____________________________</w:t>
      </w:r>
    </w:p>
    <w:p>
      <w:pPr>
        <w:spacing w:line="480" w:lineRule="auto"/>
        <w:ind w:firstLine="720" w:firstLineChars="200"/>
        <w:rPr>
          <w:rFonts w:asciiTheme="minorEastAsia" w:hAnsiTheme="minorEastAsia" w:eastAsiaTheme="minorEastAsia"/>
          <w:sz w:val="36"/>
          <w:szCs w:val="36"/>
        </w:rPr>
      </w:pPr>
      <w:r>
        <w:rPr>
          <w:rFonts w:hint="eastAsia" w:asciiTheme="minorEastAsia" w:hAnsiTheme="minorEastAsia" w:eastAsiaTheme="minorEastAsia"/>
          <w:sz w:val="36"/>
          <w:szCs w:val="36"/>
        </w:rPr>
        <w:t>项目名称</w:t>
      </w:r>
      <w:r>
        <w:rPr>
          <w:rFonts w:asciiTheme="minorEastAsia" w:hAnsiTheme="minorEastAsia" w:eastAsiaTheme="minorEastAsia"/>
          <w:sz w:val="36"/>
          <w:szCs w:val="36"/>
        </w:rPr>
        <w:t>：_____________________________</w:t>
      </w:r>
    </w:p>
    <w:p>
      <w:pPr>
        <w:spacing w:line="480" w:lineRule="auto"/>
        <w:ind w:firstLine="1400" w:firstLineChars="500"/>
        <w:rPr>
          <w:rFonts w:asciiTheme="minorEastAsia" w:hAnsiTheme="minorEastAsia" w:eastAsiaTheme="minorEastAsia"/>
          <w:sz w:val="28"/>
          <w:szCs w:val="28"/>
          <w:u w:val="single"/>
        </w:rPr>
      </w:pPr>
    </w:p>
    <w:p>
      <w:pPr>
        <w:spacing w:line="480" w:lineRule="auto"/>
        <w:ind w:firstLine="1400" w:firstLineChars="500"/>
        <w:rPr>
          <w:rFonts w:asciiTheme="minorEastAsia" w:hAnsiTheme="minorEastAsia" w:eastAsiaTheme="minorEastAsia"/>
          <w:sz w:val="28"/>
          <w:szCs w:val="28"/>
          <w:u w:val="single"/>
        </w:rPr>
      </w:pPr>
    </w:p>
    <w:p>
      <w:pPr>
        <w:spacing w:line="480" w:lineRule="auto"/>
        <w:ind w:firstLine="1400" w:firstLineChars="500"/>
        <w:rPr>
          <w:rFonts w:asciiTheme="minorEastAsia" w:hAnsiTheme="minorEastAsia" w:eastAsiaTheme="minorEastAsia"/>
          <w:sz w:val="28"/>
          <w:szCs w:val="28"/>
          <w:u w:val="single"/>
        </w:rPr>
      </w:pPr>
    </w:p>
    <w:p>
      <w:pPr>
        <w:spacing w:line="480" w:lineRule="auto"/>
        <w:ind w:firstLine="1400" w:firstLineChars="500"/>
        <w:rPr>
          <w:rFonts w:asciiTheme="minorEastAsia" w:hAnsiTheme="minorEastAsia" w:eastAsiaTheme="minorEastAsia"/>
          <w:sz w:val="28"/>
          <w:szCs w:val="28"/>
          <w:u w:val="single"/>
        </w:rPr>
      </w:pPr>
      <w:r>
        <w:rPr>
          <w:rFonts w:asciiTheme="minorEastAsia" w:hAnsiTheme="minorEastAsia" w:eastAsiaTheme="minorEastAsia"/>
          <w:sz w:val="28"/>
          <w:szCs w:val="28"/>
        </w:rPr>
        <w:t>投标人（盖章）：___________________________</w:t>
      </w:r>
    </w:p>
    <w:p>
      <w:pPr>
        <w:spacing w:line="480" w:lineRule="auto"/>
        <w:ind w:firstLine="1400" w:firstLineChars="500"/>
        <w:rPr>
          <w:rFonts w:asciiTheme="minorEastAsia" w:hAnsiTheme="minorEastAsia" w:eastAsiaTheme="minorEastAsia"/>
          <w:sz w:val="28"/>
          <w:szCs w:val="28"/>
        </w:rPr>
      </w:pPr>
      <w:r>
        <w:rPr>
          <w:rFonts w:asciiTheme="minorEastAsia" w:hAnsiTheme="minorEastAsia" w:eastAsiaTheme="minorEastAsia"/>
          <w:sz w:val="28"/>
          <w:szCs w:val="28"/>
        </w:rPr>
        <w:t>法定代表人或授权委托人签字：__________________</w:t>
      </w:r>
    </w:p>
    <w:p>
      <w:pPr>
        <w:spacing w:line="480" w:lineRule="auto"/>
        <w:ind w:firstLine="1400" w:firstLineChars="500"/>
        <w:rPr>
          <w:rFonts w:asciiTheme="minorEastAsia" w:hAnsiTheme="minorEastAsia" w:eastAsiaTheme="minorEastAsia"/>
          <w:sz w:val="28"/>
          <w:szCs w:val="28"/>
        </w:rPr>
      </w:pPr>
      <w:r>
        <w:rPr>
          <w:rFonts w:asciiTheme="minorEastAsia" w:hAnsiTheme="minorEastAsia" w:eastAsiaTheme="minorEastAsia"/>
          <w:sz w:val="28"/>
          <w:szCs w:val="28"/>
        </w:rPr>
        <w:t>投标日期：____________年____月______日</w:t>
      </w:r>
    </w:p>
    <w:p>
      <w:pPr>
        <w:jc w:val="center"/>
        <w:rPr>
          <w:rFonts w:ascii="黑体" w:hAnsi="黑体" w:eastAsia="黑体"/>
          <w:sz w:val="44"/>
          <w:szCs w:val="44"/>
        </w:rPr>
      </w:pPr>
    </w:p>
    <w:p>
      <w:pPr>
        <w:jc w:val="center"/>
        <w:rPr>
          <w:rFonts w:ascii="黑体" w:hAnsi="黑体" w:eastAsia="黑体"/>
          <w:sz w:val="44"/>
          <w:szCs w:val="44"/>
        </w:rPr>
      </w:pPr>
      <w:r>
        <w:rPr>
          <w:rFonts w:hint="eastAsia" w:ascii="黑体" w:hAnsi="黑体" w:eastAsia="黑体"/>
          <w:sz w:val="44"/>
          <w:szCs w:val="44"/>
        </w:rPr>
        <w:t>投标文件目录</w:t>
      </w:r>
    </w:p>
    <w:p>
      <w:pPr>
        <w:jc w:val="center"/>
        <w:rPr>
          <w:rFonts w:ascii="黑体" w:hAnsi="黑体" w:eastAsia="黑体"/>
          <w:sz w:val="44"/>
          <w:szCs w:val="44"/>
        </w:rPr>
      </w:pPr>
    </w:p>
    <w:p>
      <w:pPr>
        <w:spacing w:line="360" w:lineRule="auto"/>
        <w:ind w:firstLine="560" w:firstLineChars="200"/>
        <w:rPr>
          <w:sz w:val="28"/>
          <w:szCs w:val="28"/>
        </w:rPr>
      </w:pPr>
      <w:r>
        <w:rPr>
          <w:rFonts w:hint="eastAsia"/>
          <w:sz w:val="28"/>
          <w:szCs w:val="28"/>
        </w:rPr>
        <w:t>一、评标指引表</w:t>
      </w:r>
    </w:p>
    <w:p>
      <w:pPr>
        <w:spacing w:line="360" w:lineRule="auto"/>
        <w:ind w:firstLine="560" w:firstLineChars="200"/>
        <w:rPr>
          <w:sz w:val="28"/>
          <w:szCs w:val="28"/>
        </w:rPr>
      </w:pPr>
      <w:r>
        <w:rPr>
          <w:rFonts w:hint="eastAsia"/>
          <w:sz w:val="28"/>
          <w:szCs w:val="28"/>
        </w:rPr>
        <w:t>二、开标一览表（单独另行封装并加盖公章）</w:t>
      </w:r>
    </w:p>
    <w:p>
      <w:pPr>
        <w:spacing w:line="360" w:lineRule="auto"/>
        <w:ind w:firstLine="560" w:firstLineChars="200"/>
        <w:rPr>
          <w:sz w:val="28"/>
          <w:szCs w:val="28"/>
        </w:rPr>
      </w:pPr>
      <w:r>
        <w:rPr>
          <w:rFonts w:hint="eastAsia"/>
          <w:sz w:val="28"/>
          <w:szCs w:val="28"/>
        </w:rPr>
        <w:t>三、法定代表人身份证明书</w:t>
      </w:r>
    </w:p>
    <w:p>
      <w:pPr>
        <w:spacing w:line="360" w:lineRule="auto"/>
        <w:ind w:firstLine="560" w:firstLineChars="200"/>
        <w:rPr>
          <w:sz w:val="28"/>
          <w:szCs w:val="28"/>
        </w:rPr>
      </w:pPr>
      <w:r>
        <w:rPr>
          <w:rFonts w:hint="eastAsia"/>
          <w:sz w:val="28"/>
          <w:szCs w:val="28"/>
        </w:rPr>
        <w:t>四、法定代表人授权委托书</w:t>
      </w:r>
    </w:p>
    <w:p>
      <w:pPr>
        <w:spacing w:line="360" w:lineRule="auto"/>
        <w:ind w:firstLine="560" w:firstLineChars="200"/>
        <w:rPr>
          <w:sz w:val="28"/>
          <w:szCs w:val="28"/>
        </w:rPr>
      </w:pPr>
      <w:r>
        <w:rPr>
          <w:rFonts w:hint="eastAsia"/>
          <w:sz w:val="28"/>
          <w:szCs w:val="28"/>
        </w:rPr>
        <w:t>五、投标函</w:t>
      </w:r>
    </w:p>
    <w:p>
      <w:pPr>
        <w:spacing w:line="360" w:lineRule="auto"/>
        <w:ind w:firstLine="560" w:firstLineChars="200"/>
        <w:rPr>
          <w:sz w:val="28"/>
          <w:szCs w:val="28"/>
        </w:rPr>
      </w:pPr>
      <w:r>
        <w:rPr>
          <w:rFonts w:hint="eastAsia"/>
          <w:sz w:val="28"/>
          <w:szCs w:val="28"/>
        </w:rPr>
        <w:t>六、投标人情况介绍与项目资格条件证明材料</w:t>
      </w:r>
    </w:p>
    <w:p>
      <w:pPr>
        <w:spacing w:line="360" w:lineRule="auto"/>
        <w:ind w:firstLine="560" w:firstLineChars="200"/>
        <w:rPr>
          <w:sz w:val="28"/>
          <w:szCs w:val="28"/>
        </w:rPr>
      </w:pPr>
      <w:r>
        <w:rPr>
          <w:rFonts w:hint="eastAsia"/>
          <w:sz w:val="28"/>
          <w:szCs w:val="28"/>
        </w:rPr>
        <w:t>七、产业类别</w:t>
      </w:r>
    </w:p>
    <w:p>
      <w:pPr>
        <w:spacing w:line="360" w:lineRule="auto"/>
        <w:ind w:firstLine="560" w:firstLineChars="200"/>
        <w:rPr>
          <w:sz w:val="28"/>
          <w:szCs w:val="28"/>
        </w:rPr>
      </w:pPr>
      <w:r>
        <w:rPr>
          <w:rFonts w:hint="eastAsia"/>
          <w:sz w:val="28"/>
          <w:szCs w:val="28"/>
        </w:rPr>
        <w:t>八、企业资质</w:t>
      </w:r>
    </w:p>
    <w:p>
      <w:pPr>
        <w:spacing w:line="360" w:lineRule="auto"/>
        <w:ind w:firstLine="560" w:firstLineChars="200"/>
        <w:rPr>
          <w:sz w:val="28"/>
          <w:szCs w:val="28"/>
        </w:rPr>
      </w:pPr>
      <w:r>
        <w:rPr>
          <w:rFonts w:hint="eastAsia"/>
          <w:sz w:val="28"/>
          <w:szCs w:val="28"/>
        </w:rPr>
        <w:t>九、营业收入</w:t>
      </w:r>
    </w:p>
    <w:p>
      <w:pPr>
        <w:spacing w:line="360" w:lineRule="auto"/>
        <w:ind w:firstLine="560" w:firstLineChars="200"/>
        <w:rPr>
          <w:sz w:val="28"/>
          <w:szCs w:val="28"/>
        </w:rPr>
      </w:pPr>
      <w:r>
        <w:rPr>
          <w:rFonts w:hint="eastAsia"/>
          <w:sz w:val="28"/>
          <w:szCs w:val="28"/>
        </w:rPr>
        <w:t>十、税收贡献</w:t>
      </w:r>
    </w:p>
    <w:p>
      <w:pPr>
        <w:spacing w:line="360" w:lineRule="auto"/>
        <w:ind w:firstLine="560" w:firstLineChars="200"/>
        <w:rPr>
          <w:sz w:val="28"/>
          <w:szCs w:val="28"/>
        </w:rPr>
      </w:pPr>
      <w:r>
        <w:rPr>
          <w:rFonts w:hint="eastAsia"/>
          <w:sz w:val="28"/>
          <w:szCs w:val="28"/>
        </w:rPr>
        <w:t>十一、成长指标</w:t>
      </w:r>
    </w:p>
    <w:p>
      <w:pPr>
        <w:spacing w:line="360" w:lineRule="auto"/>
        <w:ind w:firstLine="560" w:firstLineChars="200"/>
        <w:rPr>
          <w:sz w:val="28"/>
          <w:szCs w:val="28"/>
        </w:rPr>
      </w:pPr>
      <w:r>
        <w:rPr>
          <w:rFonts w:hint="eastAsia"/>
          <w:sz w:val="28"/>
          <w:szCs w:val="28"/>
        </w:rPr>
        <w:t>十二、投资指标</w:t>
      </w:r>
    </w:p>
    <w:p>
      <w:pPr>
        <w:spacing w:line="360" w:lineRule="auto"/>
        <w:ind w:firstLine="560" w:firstLineChars="200"/>
        <w:rPr>
          <w:sz w:val="28"/>
          <w:szCs w:val="28"/>
        </w:rPr>
      </w:pPr>
      <w:r>
        <w:rPr>
          <w:rFonts w:hint="eastAsia"/>
          <w:sz w:val="28"/>
          <w:szCs w:val="28"/>
        </w:rPr>
        <w:t>十三、技术指标</w:t>
      </w:r>
    </w:p>
    <w:p>
      <w:pPr>
        <w:spacing w:line="360" w:lineRule="auto"/>
        <w:ind w:firstLine="560" w:firstLineChars="200"/>
        <w:rPr>
          <w:sz w:val="28"/>
          <w:szCs w:val="28"/>
        </w:rPr>
      </w:pPr>
      <w:r>
        <w:rPr>
          <w:rFonts w:hint="eastAsia"/>
          <w:sz w:val="28"/>
          <w:szCs w:val="28"/>
        </w:rPr>
        <w:t>十四、人才指标</w:t>
      </w:r>
    </w:p>
    <w:p>
      <w:pPr>
        <w:spacing w:line="360" w:lineRule="auto"/>
        <w:ind w:firstLine="560" w:firstLineChars="200"/>
        <w:rPr>
          <w:sz w:val="28"/>
          <w:szCs w:val="28"/>
        </w:rPr>
      </w:pPr>
      <w:r>
        <w:rPr>
          <w:rFonts w:hint="eastAsia"/>
          <w:sz w:val="28"/>
          <w:szCs w:val="28"/>
        </w:rPr>
        <w:t>十五、企业管理</w:t>
      </w:r>
    </w:p>
    <w:p>
      <w:pPr>
        <w:spacing w:line="360" w:lineRule="auto"/>
        <w:ind w:firstLine="560" w:firstLineChars="200"/>
        <w:rPr>
          <w:sz w:val="28"/>
          <w:szCs w:val="28"/>
        </w:rPr>
      </w:pPr>
      <w:r>
        <w:rPr>
          <w:rFonts w:hint="eastAsia"/>
          <w:sz w:val="28"/>
          <w:szCs w:val="28"/>
        </w:rPr>
        <w:t>十六、企业注册资本</w:t>
      </w:r>
    </w:p>
    <w:p>
      <w:pPr>
        <w:spacing w:line="360" w:lineRule="auto"/>
        <w:ind w:firstLine="560" w:firstLineChars="200"/>
        <w:rPr>
          <w:sz w:val="28"/>
          <w:szCs w:val="28"/>
        </w:rPr>
      </w:pPr>
      <w:r>
        <w:rPr>
          <w:rFonts w:hint="eastAsia"/>
          <w:sz w:val="28"/>
          <w:szCs w:val="28"/>
        </w:rPr>
        <w:t>十七、投标保证金证明</w:t>
      </w:r>
    </w:p>
    <w:p>
      <w:pPr>
        <w:spacing w:line="360" w:lineRule="auto"/>
        <w:ind w:firstLine="560" w:firstLineChars="200"/>
        <w:rPr>
          <w:sz w:val="28"/>
          <w:szCs w:val="28"/>
        </w:rPr>
      </w:pPr>
      <w:r>
        <w:rPr>
          <w:rFonts w:hint="eastAsia"/>
          <w:sz w:val="28"/>
          <w:szCs w:val="28"/>
        </w:rPr>
        <w:t>十八、缴纳招标代理服务费承诺函</w:t>
      </w:r>
    </w:p>
    <w:p>
      <w:pPr>
        <w:spacing w:line="360" w:lineRule="auto"/>
        <w:ind w:firstLine="560" w:firstLineChars="200"/>
        <w:rPr>
          <w:sz w:val="28"/>
          <w:szCs w:val="28"/>
        </w:rPr>
      </w:pPr>
      <w:r>
        <w:rPr>
          <w:rFonts w:hint="eastAsia"/>
          <w:sz w:val="28"/>
          <w:szCs w:val="28"/>
        </w:rPr>
        <w:t>十九、其他材料</w:t>
      </w:r>
    </w:p>
    <w:p>
      <w:pPr>
        <w:pStyle w:val="5"/>
        <w:ind w:left="1" w:leftChars="-191" w:hanging="421" w:hangingChars="131"/>
        <w:jc w:val="center"/>
        <w:rPr>
          <w:rFonts w:ascii="黑体" w:hAnsi="黑体" w:eastAsia="黑体"/>
          <w:sz w:val="32"/>
          <w:szCs w:val="32"/>
        </w:rPr>
      </w:pPr>
      <w:bookmarkStart w:id="11" w:name="一、投标函"/>
      <w:bookmarkEnd w:id="11"/>
    </w:p>
    <w:p>
      <w:pPr>
        <w:pStyle w:val="5"/>
        <w:ind w:left="1" w:leftChars="-191" w:hanging="421" w:hangingChars="131"/>
        <w:jc w:val="center"/>
        <w:rPr>
          <w:rFonts w:ascii="黑体" w:hAnsi="黑体" w:eastAsia="黑体"/>
          <w:sz w:val="32"/>
          <w:szCs w:val="32"/>
        </w:rPr>
      </w:pPr>
    </w:p>
    <w:p>
      <w:pPr>
        <w:pStyle w:val="5"/>
        <w:ind w:left="1" w:leftChars="-191" w:hanging="421" w:hangingChars="131"/>
        <w:jc w:val="center"/>
        <w:rPr>
          <w:rFonts w:ascii="黑体" w:hAnsi="黑体" w:eastAsia="黑体"/>
          <w:sz w:val="32"/>
          <w:szCs w:val="32"/>
        </w:rPr>
      </w:pPr>
    </w:p>
    <w:p>
      <w:pPr>
        <w:rPr>
          <w:rFonts w:ascii="黑体" w:hAnsi="黑体" w:eastAsia="黑体"/>
          <w:sz w:val="32"/>
          <w:szCs w:val="32"/>
        </w:rPr>
      </w:pPr>
    </w:p>
    <w:p>
      <w:pPr>
        <w:rPr>
          <w:rFonts w:ascii="黑体" w:hAnsi="黑体" w:eastAsia="黑体"/>
          <w:sz w:val="32"/>
          <w:szCs w:val="32"/>
        </w:rPr>
      </w:pPr>
    </w:p>
    <w:p>
      <w:pPr>
        <w:rPr>
          <w:rFonts w:ascii="黑体" w:hAnsi="黑体" w:eastAsia="黑体"/>
          <w:sz w:val="32"/>
          <w:szCs w:val="32"/>
        </w:rPr>
      </w:pPr>
    </w:p>
    <w:p>
      <w:pPr>
        <w:rPr>
          <w:rFonts w:ascii="黑体" w:hAnsi="黑体" w:eastAsia="黑体"/>
          <w:sz w:val="32"/>
          <w:szCs w:val="32"/>
        </w:rPr>
      </w:pPr>
    </w:p>
    <w:p>
      <w:pPr>
        <w:pStyle w:val="5"/>
        <w:ind w:left="1" w:leftChars="-191" w:hanging="421" w:hangingChars="131"/>
        <w:jc w:val="center"/>
        <w:rPr>
          <w:rFonts w:ascii="黑体" w:hAnsi="黑体" w:eastAsia="黑体"/>
          <w:sz w:val="32"/>
          <w:szCs w:val="32"/>
        </w:rPr>
      </w:pPr>
      <w:r>
        <w:rPr>
          <w:rFonts w:ascii="黑体" w:hAnsi="黑体" w:eastAsia="黑体"/>
          <w:sz w:val="32"/>
          <w:szCs w:val="32"/>
        </w:rPr>
        <w:t>一、评标指引表</w:t>
      </w:r>
    </w:p>
    <w:p>
      <w:pPr>
        <w:jc w:val="center"/>
        <w:rPr>
          <w:b/>
        </w:rPr>
      </w:pPr>
      <w:r>
        <w:rPr>
          <w:b/>
        </w:rPr>
        <w:t>（置于投标文件的首页）</w:t>
      </w:r>
    </w:p>
    <w:p>
      <w:pPr>
        <w:jc w:val="center"/>
        <w:rPr>
          <w:b/>
        </w:rPr>
      </w:pPr>
    </w:p>
    <w:p>
      <w:pPr>
        <w:ind w:firstLine="440" w:firstLineChars="200"/>
      </w:pPr>
      <w:r>
        <w:rPr>
          <w:szCs w:val="21"/>
        </w:rPr>
        <w:t>为方便参与该项目的评委专家的评标，快速找到评标事项与该项目投标文件所对应的位置，请投标人参照下表格式，编制本项目评标指引表。</w:t>
      </w:r>
    </w:p>
    <w:p>
      <w:pPr>
        <w:jc w:val="center"/>
        <w:rPr>
          <w:b/>
        </w:rPr>
      </w:pPr>
      <w:r>
        <w:rPr>
          <w:rFonts w:hint="eastAsia" w:ascii="仿宋_GB2312" w:hAnsi="黑体" w:eastAsia="仿宋_GB2312"/>
          <w:b/>
          <w:szCs w:val="32"/>
        </w:rPr>
        <w:t>光明区田寮社区第六工业区第4栋厂房及宿舍物业公开招标项目</w:t>
      </w:r>
      <w:r>
        <w:rPr>
          <w:b/>
        </w:rPr>
        <w:t>评标指引表</w:t>
      </w:r>
    </w:p>
    <w:tbl>
      <w:tblPr>
        <w:tblStyle w:val="13"/>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482"/>
        <w:gridCol w:w="478"/>
        <w:gridCol w:w="2340"/>
        <w:gridCol w:w="1307"/>
        <w:gridCol w:w="1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9854" w:type="dxa"/>
            <w:gridSpan w:val="6"/>
          </w:tcPr>
          <w:p>
            <w:pPr>
              <w:jc w:val="center"/>
              <w:rPr>
                <w:b/>
              </w:rPr>
            </w:pPr>
            <w:r>
              <w:rPr>
                <w:b/>
              </w:rPr>
              <w:t>一、资格</w:t>
            </w:r>
            <w:r>
              <w:rPr>
                <w:rFonts w:hint="eastAsia"/>
                <w:b/>
              </w:rPr>
              <w:t>条件</w:t>
            </w:r>
            <w:r>
              <w:rPr>
                <w:b/>
              </w:rPr>
              <w:t>审查指引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828" w:type="dxa"/>
          </w:tcPr>
          <w:p>
            <w:pPr>
              <w:jc w:val="center"/>
              <w:rPr>
                <w:b/>
              </w:rPr>
            </w:pPr>
            <w:r>
              <w:rPr>
                <w:b/>
              </w:rPr>
              <w:t>序号</w:t>
            </w:r>
          </w:p>
        </w:tc>
        <w:tc>
          <w:tcPr>
            <w:tcW w:w="3482" w:type="dxa"/>
            <w:vAlign w:val="center"/>
          </w:tcPr>
          <w:p>
            <w:pPr>
              <w:jc w:val="center"/>
              <w:rPr>
                <w:b/>
              </w:rPr>
            </w:pPr>
            <w:r>
              <w:rPr>
                <w:b/>
              </w:rPr>
              <w:t>资格</w:t>
            </w:r>
            <w:r>
              <w:rPr>
                <w:rFonts w:hint="eastAsia"/>
                <w:b/>
              </w:rPr>
              <w:t>条件</w:t>
            </w:r>
            <w:r>
              <w:rPr>
                <w:b/>
              </w:rPr>
              <w:t>检查项目</w:t>
            </w:r>
          </w:p>
        </w:tc>
        <w:tc>
          <w:tcPr>
            <w:tcW w:w="4125" w:type="dxa"/>
            <w:gridSpan w:val="3"/>
            <w:vAlign w:val="center"/>
          </w:tcPr>
          <w:p>
            <w:pPr>
              <w:jc w:val="center"/>
              <w:rPr>
                <w:b/>
              </w:rPr>
            </w:pPr>
            <w:r>
              <w:rPr>
                <w:b/>
              </w:rPr>
              <w:t>证明文件</w:t>
            </w:r>
          </w:p>
        </w:tc>
        <w:tc>
          <w:tcPr>
            <w:tcW w:w="1419" w:type="dxa"/>
            <w:vAlign w:val="center"/>
          </w:tcPr>
          <w:p>
            <w:pPr>
              <w:jc w:val="center"/>
              <w:rPr>
                <w:b/>
              </w:rPr>
            </w:pPr>
            <w:r>
              <w:rPr>
                <w:b/>
              </w:rPr>
              <w:t>起止页码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828" w:type="dxa"/>
          </w:tcPr>
          <w:p>
            <w:pPr>
              <w:jc w:val="center"/>
              <w:rPr>
                <w:b/>
              </w:rPr>
            </w:pPr>
            <w:r>
              <w:rPr>
                <w:b/>
              </w:rPr>
              <w:t>1</w:t>
            </w:r>
          </w:p>
        </w:tc>
        <w:tc>
          <w:tcPr>
            <w:tcW w:w="3482" w:type="dxa"/>
            <w:vAlign w:val="center"/>
          </w:tcPr>
          <w:p>
            <w:pPr>
              <w:jc w:val="center"/>
              <w:rPr>
                <w:b/>
              </w:rPr>
            </w:pPr>
          </w:p>
        </w:tc>
        <w:tc>
          <w:tcPr>
            <w:tcW w:w="4125" w:type="dxa"/>
            <w:gridSpan w:val="3"/>
            <w:vAlign w:val="center"/>
          </w:tcPr>
          <w:p>
            <w:pPr>
              <w:jc w:val="center"/>
              <w:rPr>
                <w:b/>
              </w:rPr>
            </w:pPr>
          </w:p>
        </w:tc>
        <w:tc>
          <w:tcPr>
            <w:tcW w:w="1419" w:type="dxa"/>
            <w:vAlign w:val="center"/>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828" w:type="dxa"/>
          </w:tcPr>
          <w:p>
            <w:pPr>
              <w:jc w:val="center"/>
              <w:rPr>
                <w:b/>
              </w:rPr>
            </w:pPr>
            <w:r>
              <w:rPr>
                <w:b/>
              </w:rPr>
              <w:t>2</w:t>
            </w:r>
          </w:p>
        </w:tc>
        <w:tc>
          <w:tcPr>
            <w:tcW w:w="3482" w:type="dxa"/>
            <w:vAlign w:val="center"/>
          </w:tcPr>
          <w:p>
            <w:pPr>
              <w:jc w:val="center"/>
              <w:rPr>
                <w:b/>
              </w:rPr>
            </w:pPr>
          </w:p>
        </w:tc>
        <w:tc>
          <w:tcPr>
            <w:tcW w:w="4125" w:type="dxa"/>
            <w:gridSpan w:val="3"/>
            <w:vAlign w:val="center"/>
          </w:tcPr>
          <w:p>
            <w:pPr>
              <w:jc w:val="center"/>
              <w:rPr>
                <w:b/>
              </w:rPr>
            </w:pPr>
          </w:p>
        </w:tc>
        <w:tc>
          <w:tcPr>
            <w:tcW w:w="1419" w:type="dxa"/>
            <w:vAlign w:val="center"/>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828" w:type="dxa"/>
          </w:tcPr>
          <w:p>
            <w:pPr>
              <w:jc w:val="center"/>
              <w:rPr>
                <w:b/>
              </w:rPr>
            </w:pPr>
            <w:r>
              <w:rPr>
                <w:b/>
              </w:rPr>
              <w:t>……</w:t>
            </w:r>
          </w:p>
        </w:tc>
        <w:tc>
          <w:tcPr>
            <w:tcW w:w="3482" w:type="dxa"/>
            <w:vAlign w:val="center"/>
          </w:tcPr>
          <w:p>
            <w:pPr>
              <w:jc w:val="center"/>
              <w:rPr>
                <w:b/>
              </w:rPr>
            </w:pPr>
            <w:r>
              <w:rPr>
                <w:b/>
              </w:rPr>
              <w:t>…………</w:t>
            </w:r>
          </w:p>
        </w:tc>
        <w:tc>
          <w:tcPr>
            <w:tcW w:w="4125" w:type="dxa"/>
            <w:gridSpan w:val="3"/>
            <w:vAlign w:val="center"/>
          </w:tcPr>
          <w:p>
            <w:pPr>
              <w:jc w:val="center"/>
              <w:rPr>
                <w:b/>
              </w:rPr>
            </w:pPr>
          </w:p>
        </w:tc>
        <w:tc>
          <w:tcPr>
            <w:tcW w:w="1419" w:type="dxa"/>
            <w:vAlign w:val="center"/>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9854" w:type="dxa"/>
            <w:gridSpan w:val="6"/>
          </w:tcPr>
          <w:p>
            <w:pPr>
              <w:jc w:val="center"/>
              <w:rPr>
                <w:b/>
              </w:rPr>
            </w:pPr>
            <w:r>
              <w:rPr>
                <w:rFonts w:hint="eastAsia"/>
                <w:b/>
              </w:rPr>
              <w:t>二</w:t>
            </w:r>
            <w:r>
              <w:rPr>
                <w:b/>
              </w:rPr>
              <w:t>、综合评分指引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828" w:type="dxa"/>
          </w:tcPr>
          <w:p>
            <w:pPr>
              <w:jc w:val="center"/>
              <w:rPr>
                <w:b/>
              </w:rPr>
            </w:pPr>
            <w:r>
              <w:rPr>
                <w:b/>
              </w:rPr>
              <w:t>评分类别</w:t>
            </w:r>
          </w:p>
        </w:tc>
        <w:tc>
          <w:tcPr>
            <w:tcW w:w="3960" w:type="dxa"/>
            <w:gridSpan w:val="2"/>
            <w:vAlign w:val="center"/>
          </w:tcPr>
          <w:p>
            <w:pPr>
              <w:jc w:val="center"/>
              <w:rPr>
                <w:b/>
              </w:rPr>
            </w:pPr>
            <w:r>
              <w:rPr>
                <w:b/>
              </w:rPr>
              <w:t>评分项目</w:t>
            </w:r>
          </w:p>
        </w:tc>
        <w:tc>
          <w:tcPr>
            <w:tcW w:w="2340" w:type="dxa"/>
            <w:vAlign w:val="center"/>
          </w:tcPr>
          <w:p>
            <w:pPr>
              <w:jc w:val="center"/>
              <w:rPr>
                <w:b/>
              </w:rPr>
            </w:pPr>
            <w:r>
              <w:rPr>
                <w:b/>
              </w:rPr>
              <w:t>分值</w:t>
            </w:r>
          </w:p>
          <w:p>
            <w:pPr>
              <w:jc w:val="center"/>
              <w:rPr>
                <w:b/>
              </w:rPr>
            </w:pPr>
            <w:r>
              <w:rPr>
                <w:b/>
              </w:rPr>
              <w:t>（或权重）</w:t>
            </w:r>
          </w:p>
        </w:tc>
        <w:tc>
          <w:tcPr>
            <w:tcW w:w="1307" w:type="dxa"/>
            <w:vAlign w:val="center"/>
          </w:tcPr>
          <w:p>
            <w:pPr>
              <w:jc w:val="center"/>
              <w:rPr>
                <w:b/>
              </w:rPr>
            </w:pPr>
            <w:r>
              <w:rPr>
                <w:b/>
              </w:rPr>
              <w:t>对应章节</w:t>
            </w:r>
          </w:p>
        </w:tc>
        <w:tc>
          <w:tcPr>
            <w:tcW w:w="1419" w:type="dxa"/>
            <w:vAlign w:val="center"/>
          </w:tcPr>
          <w:p>
            <w:pPr>
              <w:jc w:val="center"/>
              <w:rPr>
                <w:b/>
              </w:rPr>
            </w:pPr>
            <w:r>
              <w:rPr>
                <w:b/>
              </w:rPr>
              <w:t>起止页码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828" w:type="dxa"/>
            <w:vMerge w:val="restart"/>
            <w:vAlign w:val="center"/>
          </w:tcPr>
          <w:p>
            <w:pPr>
              <w:jc w:val="center"/>
              <w:rPr>
                <w:b/>
              </w:rPr>
            </w:pPr>
            <w:r>
              <w:rPr>
                <w:rFonts w:hint="eastAsia"/>
                <w:b/>
              </w:rPr>
              <w:t>价格部分</w:t>
            </w:r>
          </w:p>
        </w:tc>
        <w:tc>
          <w:tcPr>
            <w:tcW w:w="3960" w:type="dxa"/>
            <w:gridSpan w:val="2"/>
          </w:tcPr>
          <w:p>
            <w:pPr>
              <w:jc w:val="center"/>
              <w:rPr>
                <w:b/>
              </w:rPr>
            </w:pPr>
            <w:r>
              <w:rPr>
                <w:b/>
              </w:rPr>
              <w:t>1.…………</w:t>
            </w:r>
          </w:p>
        </w:tc>
        <w:tc>
          <w:tcPr>
            <w:tcW w:w="2340" w:type="dxa"/>
          </w:tcPr>
          <w:p>
            <w:pPr>
              <w:jc w:val="center"/>
              <w:rPr>
                <w:b/>
              </w:rPr>
            </w:pPr>
          </w:p>
        </w:tc>
        <w:tc>
          <w:tcPr>
            <w:tcW w:w="1307" w:type="dxa"/>
          </w:tcPr>
          <w:p>
            <w:pPr>
              <w:jc w:val="center"/>
              <w:rPr>
                <w:b/>
              </w:rPr>
            </w:pPr>
          </w:p>
        </w:tc>
        <w:tc>
          <w:tcPr>
            <w:tcW w:w="1419" w:type="dxa"/>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828" w:type="dxa"/>
            <w:vMerge w:val="continue"/>
            <w:vAlign w:val="center"/>
          </w:tcPr>
          <w:p>
            <w:pPr>
              <w:jc w:val="center"/>
              <w:rPr>
                <w:b/>
              </w:rPr>
            </w:pPr>
          </w:p>
        </w:tc>
        <w:tc>
          <w:tcPr>
            <w:tcW w:w="3960" w:type="dxa"/>
            <w:gridSpan w:val="2"/>
          </w:tcPr>
          <w:p>
            <w:pPr>
              <w:jc w:val="center"/>
              <w:rPr>
                <w:b/>
              </w:rPr>
            </w:pPr>
            <w:r>
              <w:rPr>
                <w:b/>
              </w:rPr>
              <w:t>2.…………</w:t>
            </w:r>
          </w:p>
        </w:tc>
        <w:tc>
          <w:tcPr>
            <w:tcW w:w="2340" w:type="dxa"/>
          </w:tcPr>
          <w:p>
            <w:pPr>
              <w:jc w:val="center"/>
              <w:rPr>
                <w:b/>
              </w:rPr>
            </w:pPr>
          </w:p>
        </w:tc>
        <w:tc>
          <w:tcPr>
            <w:tcW w:w="1307" w:type="dxa"/>
          </w:tcPr>
          <w:p>
            <w:pPr>
              <w:jc w:val="center"/>
              <w:rPr>
                <w:b/>
              </w:rPr>
            </w:pPr>
          </w:p>
        </w:tc>
        <w:tc>
          <w:tcPr>
            <w:tcW w:w="1419" w:type="dxa"/>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828" w:type="dxa"/>
            <w:vMerge w:val="continue"/>
            <w:vAlign w:val="center"/>
          </w:tcPr>
          <w:p>
            <w:pPr>
              <w:jc w:val="center"/>
              <w:rPr>
                <w:b/>
              </w:rPr>
            </w:pPr>
          </w:p>
        </w:tc>
        <w:tc>
          <w:tcPr>
            <w:tcW w:w="3960" w:type="dxa"/>
            <w:gridSpan w:val="2"/>
          </w:tcPr>
          <w:p>
            <w:pPr>
              <w:jc w:val="center"/>
              <w:rPr>
                <w:b/>
              </w:rPr>
            </w:pPr>
            <w:r>
              <w:rPr>
                <w:b/>
              </w:rPr>
              <w:t>…………</w:t>
            </w:r>
          </w:p>
        </w:tc>
        <w:tc>
          <w:tcPr>
            <w:tcW w:w="2340" w:type="dxa"/>
          </w:tcPr>
          <w:p>
            <w:pPr>
              <w:jc w:val="center"/>
              <w:rPr>
                <w:b/>
              </w:rPr>
            </w:pPr>
          </w:p>
        </w:tc>
        <w:tc>
          <w:tcPr>
            <w:tcW w:w="1307" w:type="dxa"/>
          </w:tcPr>
          <w:p>
            <w:pPr>
              <w:jc w:val="center"/>
              <w:rPr>
                <w:b/>
              </w:rPr>
            </w:pPr>
          </w:p>
        </w:tc>
        <w:tc>
          <w:tcPr>
            <w:tcW w:w="1419" w:type="dxa"/>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828" w:type="dxa"/>
            <w:vMerge w:val="restart"/>
            <w:vAlign w:val="center"/>
          </w:tcPr>
          <w:p>
            <w:pPr>
              <w:jc w:val="center"/>
              <w:rPr>
                <w:b/>
              </w:rPr>
            </w:pPr>
            <w:r>
              <w:rPr>
                <w:rFonts w:hint="eastAsia"/>
                <w:b/>
              </w:rPr>
              <w:t>产业</w:t>
            </w:r>
            <w:r>
              <w:rPr>
                <w:b/>
              </w:rPr>
              <w:t>部分</w:t>
            </w:r>
          </w:p>
        </w:tc>
        <w:tc>
          <w:tcPr>
            <w:tcW w:w="3960" w:type="dxa"/>
            <w:gridSpan w:val="2"/>
          </w:tcPr>
          <w:p>
            <w:pPr>
              <w:jc w:val="center"/>
              <w:rPr>
                <w:b/>
              </w:rPr>
            </w:pPr>
            <w:r>
              <w:rPr>
                <w:b/>
              </w:rPr>
              <w:t>1.…………</w:t>
            </w:r>
          </w:p>
        </w:tc>
        <w:tc>
          <w:tcPr>
            <w:tcW w:w="2340" w:type="dxa"/>
          </w:tcPr>
          <w:p>
            <w:pPr>
              <w:jc w:val="center"/>
              <w:rPr>
                <w:b/>
              </w:rPr>
            </w:pPr>
          </w:p>
        </w:tc>
        <w:tc>
          <w:tcPr>
            <w:tcW w:w="1307" w:type="dxa"/>
          </w:tcPr>
          <w:p>
            <w:pPr>
              <w:jc w:val="center"/>
              <w:rPr>
                <w:b/>
              </w:rPr>
            </w:pPr>
          </w:p>
        </w:tc>
        <w:tc>
          <w:tcPr>
            <w:tcW w:w="1419" w:type="dxa"/>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828" w:type="dxa"/>
            <w:vMerge w:val="continue"/>
          </w:tcPr>
          <w:p>
            <w:pPr>
              <w:jc w:val="center"/>
              <w:rPr>
                <w:b/>
              </w:rPr>
            </w:pPr>
          </w:p>
        </w:tc>
        <w:tc>
          <w:tcPr>
            <w:tcW w:w="3960" w:type="dxa"/>
            <w:gridSpan w:val="2"/>
          </w:tcPr>
          <w:p>
            <w:pPr>
              <w:jc w:val="center"/>
              <w:rPr>
                <w:b/>
              </w:rPr>
            </w:pPr>
            <w:r>
              <w:rPr>
                <w:b/>
              </w:rPr>
              <w:t>2.…………</w:t>
            </w:r>
          </w:p>
        </w:tc>
        <w:tc>
          <w:tcPr>
            <w:tcW w:w="2340" w:type="dxa"/>
          </w:tcPr>
          <w:p>
            <w:pPr>
              <w:jc w:val="center"/>
              <w:rPr>
                <w:b/>
              </w:rPr>
            </w:pPr>
          </w:p>
        </w:tc>
        <w:tc>
          <w:tcPr>
            <w:tcW w:w="1307" w:type="dxa"/>
          </w:tcPr>
          <w:p>
            <w:pPr>
              <w:jc w:val="center"/>
              <w:rPr>
                <w:b/>
              </w:rPr>
            </w:pPr>
          </w:p>
        </w:tc>
        <w:tc>
          <w:tcPr>
            <w:tcW w:w="1419" w:type="dxa"/>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828" w:type="dxa"/>
            <w:vMerge w:val="continue"/>
          </w:tcPr>
          <w:p>
            <w:pPr>
              <w:jc w:val="center"/>
              <w:rPr>
                <w:b/>
              </w:rPr>
            </w:pPr>
          </w:p>
        </w:tc>
        <w:tc>
          <w:tcPr>
            <w:tcW w:w="3960" w:type="dxa"/>
            <w:gridSpan w:val="2"/>
          </w:tcPr>
          <w:p>
            <w:pPr>
              <w:jc w:val="center"/>
              <w:rPr>
                <w:b/>
              </w:rPr>
            </w:pPr>
            <w:r>
              <w:rPr>
                <w:b/>
              </w:rPr>
              <w:t>…………</w:t>
            </w:r>
          </w:p>
        </w:tc>
        <w:tc>
          <w:tcPr>
            <w:tcW w:w="2340" w:type="dxa"/>
          </w:tcPr>
          <w:p>
            <w:pPr>
              <w:jc w:val="center"/>
              <w:rPr>
                <w:b/>
              </w:rPr>
            </w:pPr>
          </w:p>
        </w:tc>
        <w:tc>
          <w:tcPr>
            <w:tcW w:w="1307" w:type="dxa"/>
          </w:tcPr>
          <w:p>
            <w:pPr>
              <w:jc w:val="center"/>
              <w:rPr>
                <w:b/>
              </w:rPr>
            </w:pPr>
          </w:p>
        </w:tc>
        <w:tc>
          <w:tcPr>
            <w:tcW w:w="1419" w:type="dxa"/>
          </w:tcPr>
          <w:p>
            <w:pPr>
              <w:jc w:val="center"/>
              <w:rPr>
                <w:b/>
              </w:rPr>
            </w:pPr>
          </w:p>
        </w:tc>
      </w:tr>
    </w:tbl>
    <w:p>
      <w:r>
        <w:t>注：请投标人按照</w:t>
      </w:r>
      <w:r>
        <w:rPr>
          <w:rFonts w:hint="eastAsia"/>
        </w:rPr>
        <w:t>招标文件</w:t>
      </w:r>
      <w:r>
        <w:t>的审查和评分内容，自上而下的顺序填写本表。因项目次序混乱而影响评标效率及评标结果者，投标人自负其责。</w:t>
      </w:r>
    </w:p>
    <w:p>
      <w:pPr>
        <w:rPr>
          <w:rFonts w:ascii="黑体" w:hAnsi="黑体" w:eastAsia="黑体"/>
          <w:sz w:val="32"/>
          <w:szCs w:val="32"/>
        </w:rPr>
      </w:pPr>
      <w:r>
        <w:rPr>
          <w:rFonts w:ascii="黑体" w:hAnsi="黑体" w:eastAsia="黑体"/>
          <w:sz w:val="32"/>
          <w:szCs w:val="32"/>
        </w:rPr>
        <w:br w:type="page"/>
      </w:r>
    </w:p>
    <w:p>
      <w:pPr>
        <w:pStyle w:val="5"/>
        <w:ind w:left="0" w:firstLine="643" w:firstLineChars="200"/>
        <w:jc w:val="center"/>
        <w:rPr>
          <w:rFonts w:ascii="黑体" w:hAnsi="黑体" w:eastAsia="黑体"/>
          <w:sz w:val="32"/>
          <w:szCs w:val="32"/>
        </w:rPr>
      </w:pPr>
      <w:r>
        <w:rPr>
          <w:rFonts w:hint="eastAsia" w:ascii="黑体" w:hAnsi="黑体" w:eastAsia="黑体"/>
          <w:sz w:val="32"/>
          <w:szCs w:val="32"/>
        </w:rPr>
        <w:t>二、</w:t>
      </w:r>
      <w:r>
        <w:rPr>
          <w:rFonts w:ascii="黑体" w:hAnsi="黑体" w:eastAsia="黑体"/>
          <w:sz w:val="32"/>
          <w:szCs w:val="32"/>
        </w:rPr>
        <w:t>开标一览表（</w:t>
      </w:r>
      <w:r>
        <w:rPr>
          <w:rFonts w:hint="eastAsia" w:ascii="黑体" w:hAnsi="黑体" w:eastAsia="黑体"/>
          <w:sz w:val="32"/>
          <w:szCs w:val="32"/>
        </w:rPr>
        <w:t>需</w:t>
      </w:r>
      <w:r>
        <w:rPr>
          <w:rFonts w:ascii="黑体" w:hAnsi="黑体" w:eastAsia="黑体"/>
          <w:sz w:val="32"/>
          <w:szCs w:val="32"/>
        </w:rPr>
        <w:t>单独另行封装）</w:t>
      </w:r>
    </w:p>
    <w:p/>
    <w:p>
      <w:pPr>
        <w:pStyle w:val="9"/>
        <w:ind w:right="380"/>
        <w:jc w:val="center"/>
      </w:pPr>
    </w:p>
    <w:p>
      <w:pPr>
        <w:pStyle w:val="9"/>
        <w:ind w:right="380"/>
        <w:jc w:val="both"/>
      </w:pPr>
      <w:r>
        <w:t>项目名称</w:t>
      </w:r>
      <w:r>
        <w:rPr>
          <w:rFonts w:hint="eastAsia"/>
        </w:rPr>
        <w:t>：</w:t>
      </w:r>
      <w:r>
        <w:rPr>
          <w:rFonts w:hint="eastAsia" w:ascii="仿宋_GB2312" w:hAnsi="黑体" w:eastAsia="仿宋_GB2312"/>
          <w:sz w:val="22"/>
          <w:szCs w:val="32"/>
        </w:rPr>
        <w:t>光明区田寮社区第六工业区第4栋厂房及宿舍物业公开招标项目</w:t>
      </w:r>
    </w:p>
    <w:p>
      <w:pPr>
        <w:pStyle w:val="9"/>
        <w:ind w:right="380"/>
        <w:jc w:val="center"/>
      </w:pPr>
    </w:p>
    <w:p>
      <w:pPr>
        <w:widowControl/>
        <w:tabs>
          <w:tab w:val="left" w:pos="8360"/>
        </w:tabs>
        <w:ind w:right="458" w:rightChars="208"/>
        <w:jc w:val="both"/>
        <w:rPr>
          <w:rFonts w:asciiTheme="minorEastAsia" w:hAnsiTheme="minorEastAsia" w:eastAsiaTheme="minorEastAsia"/>
          <w:sz w:val="21"/>
          <w:szCs w:val="21"/>
        </w:rPr>
      </w:pPr>
      <w:r>
        <w:rPr>
          <w:rFonts w:hint="eastAsia"/>
        </w:rPr>
        <w:t>项目</w:t>
      </w:r>
      <w:r>
        <w:t xml:space="preserve">编号 </w:t>
      </w:r>
      <w:r>
        <w:rPr>
          <w:rFonts w:hint="eastAsia"/>
        </w:rPr>
        <w:t>：</w:t>
      </w:r>
      <w:r>
        <w:t xml:space="preserve"> </w:t>
      </w:r>
    </w:p>
    <w:p>
      <w:pPr>
        <w:pStyle w:val="9"/>
        <w:ind w:right="380"/>
        <w:jc w:val="center"/>
      </w:pPr>
    </w:p>
    <w:p>
      <w:pPr>
        <w:pStyle w:val="9"/>
        <w:ind w:right="380"/>
        <w:jc w:val="center"/>
      </w:pPr>
      <w:r>
        <w:rPr>
          <w:rFonts w:hint="eastAsia"/>
          <w:lang w:val="en-US"/>
        </w:rPr>
        <w:t xml:space="preserve">                                                            </w:t>
      </w:r>
      <w:r>
        <w:t>单位： （人民币）元/月</w:t>
      </w:r>
    </w:p>
    <w:p>
      <w:pPr>
        <w:pStyle w:val="9"/>
        <w:ind w:right="380"/>
        <w:jc w:val="center"/>
      </w:pPr>
    </w:p>
    <w:tbl>
      <w:tblPr>
        <w:tblStyle w:val="13"/>
        <w:tblpPr w:leftFromText="180" w:rightFromText="180" w:vertAnchor="text" w:horzAnchor="page" w:tblpX="1020" w:tblpY="381"/>
        <w:tblOverlap w:val="never"/>
        <w:tblW w:w="9440" w:type="dxa"/>
        <w:tblInd w:w="0" w:type="dxa"/>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
      <w:tblGrid>
        <w:gridCol w:w="2064"/>
        <w:gridCol w:w="2651"/>
        <w:gridCol w:w="2189"/>
        <w:gridCol w:w="2536"/>
      </w:tblGrid>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582" w:hRule="atLeast"/>
        </w:trPr>
        <w:tc>
          <w:tcPr>
            <w:tcW w:w="2064" w:type="dxa"/>
            <w:tcBorders>
              <w:bottom w:val="single" w:color="000000" w:sz="4" w:space="0"/>
              <w:right w:val="single" w:color="000000" w:sz="4" w:space="0"/>
            </w:tcBorders>
            <w:vAlign w:val="center"/>
          </w:tcPr>
          <w:p>
            <w:pPr>
              <w:pStyle w:val="9"/>
              <w:ind w:right="380"/>
              <w:jc w:val="center"/>
            </w:pPr>
            <w:r>
              <w:t>项目名称</w:t>
            </w:r>
          </w:p>
        </w:tc>
        <w:tc>
          <w:tcPr>
            <w:tcW w:w="2651" w:type="dxa"/>
            <w:tcBorders>
              <w:left w:val="single" w:color="000000" w:sz="4" w:space="0"/>
              <w:bottom w:val="single" w:color="000000" w:sz="4" w:space="0"/>
              <w:right w:val="single" w:color="000000" w:sz="4" w:space="0"/>
            </w:tcBorders>
            <w:vAlign w:val="center"/>
          </w:tcPr>
          <w:p>
            <w:pPr>
              <w:pStyle w:val="9"/>
              <w:ind w:right="380"/>
              <w:jc w:val="center"/>
            </w:pPr>
            <w:r>
              <w:t>投标报价（元/㎡/月）</w:t>
            </w:r>
          </w:p>
        </w:tc>
        <w:tc>
          <w:tcPr>
            <w:tcW w:w="2189" w:type="dxa"/>
            <w:tcBorders>
              <w:left w:val="single" w:color="000000" w:sz="4" w:space="0"/>
              <w:bottom w:val="single" w:color="000000" w:sz="4" w:space="0"/>
              <w:right w:val="single" w:color="000000" w:sz="4" w:space="0"/>
            </w:tcBorders>
            <w:vAlign w:val="center"/>
          </w:tcPr>
          <w:p>
            <w:pPr>
              <w:pStyle w:val="9"/>
              <w:ind w:right="380"/>
              <w:jc w:val="center"/>
            </w:pPr>
            <w:r>
              <w:t>租期年限（年）</w:t>
            </w:r>
          </w:p>
        </w:tc>
        <w:tc>
          <w:tcPr>
            <w:tcW w:w="2536" w:type="dxa"/>
            <w:tcBorders>
              <w:left w:val="single" w:color="000000" w:sz="4" w:space="0"/>
              <w:bottom w:val="single" w:color="000000" w:sz="4" w:space="0"/>
            </w:tcBorders>
            <w:vAlign w:val="center"/>
          </w:tcPr>
          <w:p>
            <w:pPr>
              <w:pStyle w:val="9"/>
              <w:ind w:right="380"/>
              <w:jc w:val="center"/>
            </w:pPr>
            <w:r>
              <w:t>备注</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1425" w:hRule="atLeast"/>
        </w:trPr>
        <w:tc>
          <w:tcPr>
            <w:tcW w:w="2064" w:type="dxa"/>
            <w:tcBorders>
              <w:top w:val="single" w:color="000000" w:sz="4" w:space="0"/>
              <w:right w:val="single" w:color="000000" w:sz="4" w:space="0"/>
            </w:tcBorders>
            <w:vAlign w:val="center"/>
          </w:tcPr>
          <w:p>
            <w:pPr>
              <w:pStyle w:val="9"/>
              <w:ind w:right="380"/>
              <w:rPr>
                <w:rFonts w:asciiTheme="minorEastAsia" w:hAnsiTheme="minorEastAsia" w:eastAsiaTheme="minorEastAsia"/>
              </w:rPr>
            </w:pPr>
            <w:r>
              <w:rPr>
                <w:rFonts w:hint="eastAsia" w:asciiTheme="minorEastAsia" w:hAnsiTheme="minorEastAsia" w:eastAsiaTheme="minorEastAsia"/>
                <w:szCs w:val="32"/>
              </w:rPr>
              <w:t>光明区田寮社区第六工业区第4栋厂房及宿舍物业公开招标项目</w:t>
            </w:r>
          </w:p>
        </w:tc>
        <w:tc>
          <w:tcPr>
            <w:tcW w:w="2651" w:type="dxa"/>
            <w:tcBorders>
              <w:top w:val="single" w:color="000000" w:sz="4" w:space="0"/>
              <w:left w:val="single" w:color="000000" w:sz="4" w:space="0"/>
              <w:right w:val="single" w:color="000000" w:sz="4" w:space="0"/>
            </w:tcBorders>
            <w:vAlign w:val="center"/>
          </w:tcPr>
          <w:p>
            <w:pPr>
              <w:pStyle w:val="9"/>
              <w:ind w:right="380"/>
              <w:jc w:val="center"/>
            </w:pPr>
            <w:r>
              <w:t>人民币</w:t>
            </w:r>
            <w:r>
              <w:rPr>
                <w:rFonts w:hint="eastAsia"/>
                <w:u w:val="single"/>
                <w:lang w:val="en-US"/>
              </w:rPr>
              <w:t xml:space="preserve">   </w:t>
            </w:r>
            <w:r>
              <w:rPr>
                <w:u w:val="single"/>
                <w:lang w:val="en-US"/>
              </w:rPr>
              <w:t xml:space="preserve">  </w:t>
            </w:r>
            <w:r>
              <w:rPr>
                <w:rFonts w:hint="eastAsia"/>
                <w:u w:val="single"/>
                <w:lang w:val="en-US"/>
              </w:rPr>
              <w:t xml:space="preserve"> </w:t>
            </w:r>
            <w:r>
              <w:t>元/㎡/月</w:t>
            </w:r>
          </w:p>
        </w:tc>
        <w:tc>
          <w:tcPr>
            <w:tcW w:w="2189" w:type="dxa"/>
            <w:tcBorders>
              <w:top w:val="single" w:color="000000" w:sz="4" w:space="0"/>
              <w:left w:val="single" w:color="000000" w:sz="4" w:space="0"/>
              <w:right w:val="single" w:color="000000" w:sz="4" w:space="0"/>
            </w:tcBorders>
            <w:vAlign w:val="center"/>
          </w:tcPr>
          <w:p>
            <w:pPr>
              <w:pStyle w:val="9"/>
              <w:ind w:right="380"/>
              <w:jc w:val="center"/>
              <w:rPr>
                <w:sz w:val="18"/>
                <w:szCs w:val="18"/>
              </w:rPr>
            </w:pPr>
            <w:r>
              <w:rPr>
                <w:rFonts w:hint="eastAsia"/>
                <w:sz w:val="18"/>
                <w:szCs w:val="18"/>
              </w:rPr>
              <w:t>2</w:t>
            </w:r>
            <w:r>
              <w:rPr>
                <w:sz w:val="18"/>
                <w:szCs w:val="18"/>
              </w:rPr>
              <w:t>年</w:t>
            </w:r>
          </w:p>
        </w:tc>
        <w:tc>
          <w:tcPr>
            <w:tcW w:w="2536" w:type="dxa"/>
            <w:tcBorders>
              <w:top w:val="single" w:color="000000" w:sz="4" w:space="0"/>
              <w:left w:val="single" w:color="000000" w:sz="4" w:space="0"/>
            </w:tcBorders>
            <w:vAlign w:val="center"/>
          </w:tcPr>
          <w:p>
            <w:pPr>
              <w:pStyle w:val="9"/>
              <w:ind w:right="380"/>
              <w:jc w:val="center"/>
              <w:rPr>
                <w:sz w:val="18"/>
                <w:szCs w:val="18"/>
              </w:rPr>
            </w:pPr>
            <w:r>
              <w:rPr>
                <w:rFonts w:hint="eastAsia"/>
                <w:sz w:val="18"/>
                <w:szCs w:val="18"/>
              </w:rPr>
              <w:t>（若政府征收或城市更新，合同自动终止，双方免责）</w:t>
            </w:r>
          </w:p>
        </w:tc>
      </w:tr>
    </w:tbl>
    <w:p>
      <w:pPr>
        <w:pStyle w:val="9"/>
        <w:ind w:right="380"/>
      </w:pPr>
    </w:p>
    <w:p>
      <w:pPr>
        <w:pStyle w:val="9"/>
        <w:ind w:right="380"/>
      </w:pPr>
    </w:p>
    <w:p>
      <w:pPr>
        <w:pStyle w:val="9"/>
        <w:ind w:right="380"/>
      </w:pPr>
    </w:p>
    <w:p>
      <w:pPr>
        <w:pStyle w:val="9"/>
        <w:ind w:right="380"/>
      </w:pPr>
    </w:p>
    <w:p>
      <w:pPr>
        <w:pStyle w:val="9"/>
        <w:ind w:right="380"/>
      </w:pPr>
    </w:p>
    <w:p>
      <w:pPr>
        <w:pStyle w:val="9"/>
        <w:ind w:right="380"/>
      </w:pPr>
    </w:p>
    <w:p>
      <w:pPr>
        <w:pStyle w:val="9"/>
        <w:ind w:right="380"/>
      </w:pPr>
    </w:p>
    <w:p>
      <w:pPr>
        <w:pStyle w:val="9"/>
        <w:ind w:right="380"/>
      </w:pPr>
    </w:p>
    <w:p>
      <w:pPr>
        <w:pStyle w:val="9"/>
        <w:ind w:right="380"/>
      </w:pPr>
    </w:p>
    <w:p>
      <w:pPr>
        <w:pStyle w:val="9"/>
        <w:ind w:right="380"/>
      </w:pPr>
    </w:p>
    <w:p>
      <w:pPr>
        <w:pStyle w:val="9"/>
        <w:ind w:right="380"/>
      </w:pPr>
    </w:p>
    <w:p>
      <w:pPr>
        <w:pStyle w:val="9"/>
        <w:ind w:right="380"/>
      </w:pPr>
    </w:p>
    <w:p>
      <w:pPr>
        <w:pStyle w:val="9"/>
        <w:ind w:right="380"/>
        <w:rPr>
          <w:sz w:val="24"/>
          <w:szCs w:val="24"/>
        </w:rPr>
      </w:pPr>
      <w:r>
        <w:rPr>
          <w:sz w:val="24"/>
          <w:szCs w:val="24"/>
        </w:rPr>
        <w:t>注：</w:t>
      </w:r>
    </w:p>
    <w:p>
      <w:pPr>
        <w:pStyle w:val="9"/>
        <w:ind w:right="380"/>
        <w:rPr>
          <w:sz w:val="24"/>
          <w:szCs w:val="24"/>
        </w:rPr>
      </w:pPr>
      <w:r>
        <w:rPr>
          <w:sz w:val="24"/>
          <w:szCs w:val="24"/>
        </w:rPr>
        <w:t>1、价格应按“招标文件”中规定的货币单位填写,</w:t>
      </w:r>
      <w:r>
        <w:rPr>
          <w:rFonts w:hint="eastAsia"/>
        </w:rPr>
        <w:t xml:space="preserve"> </w:t>
      </w:r>
      <w:r>
        <w:rPr>
          <w:rFonts w:hint="eastAsia"/>
          <w:sz w:val="24"/>
          <w:szCs w:val="24"/>
        </w:rPr>
        <w:t>本表格中“投标报价”栏目应按“人民币</w:t>
      </w:r>
      <w:r>
        <w:rPr>
          <w:sz w:val="24"/>
          <w:szCs w:val="24"/>
        </w:rPr>
        <w:t>_____元㎡/月”格式统一填写；报价</w:t>
      </w:r>
      <w:r>
        <w:rPr>
          <w:rFonts w:hint="eastAsia"/>
          <w:sz w:val="24"/>
          <w:szCs w:val="24"/>
        </w:rPr>
        <w:t>应</w:t>
      </w:r>
      <w:r>
        <w:rPr>
          <w:sz w:val="24"/>
          <w:szCs w:val="24"/>
        </w:rPr>
        <w:t>四舍五入精确到小数点后两位。</w:t>
      </w:r>
    </w:p>
    <w:p>
      <w:pPr>
        <w:pStyle w:val="9"/>
        <w:ind w:right="380"/>
        <w:rPr>
          <w:sz w:val="24"/>
          <w:szCs w:val="24"/>
        </w:rPr>
      </w:pPr>
      <w:r>
        <w:rPr>
          <w:sz w:val="24"/>
          <w:szCs w:val="24"/>
        </w:rPr>
        <w:t>2、投标人应对物业租金进行报价，投标报价低于</w:t>
      </w:r>
      <w:r>
        <w:rPr>
          <w:rFonts w:hint="eastAsia"/>
          <w:sz w:val="24"/>
          <w:szCs w:val="24"/>
        </w:rPr>
        <w:t>本项目招标文件要求的</w:t>
      </w:r>
      <w:r>
        <w:rPr>
          <w:sz w:val="24"/>
          <w:szCs w:val="24"/>
        </w:rPr>
        <w:t>租金底价</w:t>
      </w:r>
      <w:r>
        <w:rPr>
          <w:rFonts w:hint="eastAsia"/>
          <w:sz w:val="24"/>
          <w:szCs w:val="24"/>
        </w:rPr>
        <w:t>的</w:t>
      </w:r>
      <w:r>
        <w:rPr>
          <w:sz w:val="24"/>
          <w:szCs w:val="24"/>
        </w:rPr>
        <w:t>，将导致投标无效，报价为</w:t>
      </w:r>
      <w:r>
        <w:rPr>
          <w:rFonts w:hint="eastAsia"/>
          <w:sz w:val="24"/>
          <w:szCs w:val="24"/>
        </w:rPr>
        <w:t>不</w:t>
      </w:r>
      <w:r>
        <w:rPr>
          <w:sz w:val="24"/>
          <w:szCs w:val="24"/>
        </w:rPr>
        <w:t>含税价格。</w:t>
      </w:r>
    </w:p>
    <w:p>
      <w:pPr>
        <w:pStyle w:val="9"/>
        <w:ind w:right="380"/>
        <w:rPr>
          <w:sz w:val="24"/>
          <w:szCs w:val="24"/>
        </w:rPr>
      </w:pPr>
      <w:r>
        <w:rPr>
          <w:sz w:val="24"/>
          <w:szCs w:val="24"/>
        </w:rPr>
        <w:t>3、投标人如果需要对报价或其它内容加以说明，可在备注栏填写。</w:t>
      </w:r>
    </w:p>
    <w:p>
      <w:pPr>
        <w:pStyle w:val="9"/>
        <w:ind w:right="380"/>
        <w:rPr>
          <w:sz w:val="24"/>
          <w:szCs w:val="24"/>
        </w:rPr>
      </w:pPr>
      <w:r>
        <w:rPr>
          <w:sz w:val="24"/>
          <w:szCs w:val="24"/>
        </w:rPr>
        <w:t>4、开标一览表和投标文件（含正本和副本）应分开独立密封包装且盖公章。</w:t>
      </w:r>
    </w:p>
    <w:p>
      <w:pPr>
        <w:pStyle w:val="9"/>
        <w:ind w:right="380"/>
        <w:rPr>
          <w:sz w:val="24"/>
          <w:szCs w:val="24"/>
        </w:rPr>
      </w:pPr>
      <w:r>
        <w:rPr>
          <w:sz w:val="24"/>
          <w:szCs w:val="24"/>
        </w:rPr>
        <w:t>5、请严格按照以上格式和要求填写开标一览表，否则将导致投标无效。</w:t>
      </w:r>
    </w:p>
    <w:p>
      <w:pPr>
        <w:pStyle w:val="5"/>
        <w:ind w:left="316" w:hanging="316" w:hangingChars="131"/>
        <w:jc w:val="center"/>
        <w:rPr>
          <w:color w:val="FF0000"/>
          <w:sz w:val="24"/>
          <w:szCs w:val="24"/>
        </w:rPr>
      </w:pPr>
      <w:r>
        <w:rPr>
          <w:color w:val="FF0000"/>
          <w:sz w:val="24"/>
          <w:szCs w:val="24"/>
        </w:rPr>
        <w:t>6、投标人应在投标截止时间前单独另行递交密封的开标一览表，</w:t>
      </w:r>
      <w:r>
        <w:rPr>
          <w:rFonts w:hint="eastAsia"/>
          <w:color w:val="FF0000"/>
          <w:sz w:val="24"/>
          <w:szCs w:val="24"/>
        </w:rPr>
        <w:t>随投标文件一同递交，</w:t>
      </w:r>
      <w:r>
        <w:rPr>
          <w:color w:val="FF0000"/>
          <w:sz w:val="24"/>
          <w:szCs w:val="24"/>
        </w:rPr>
        <w:t>未按照要求提交的不得参与本项目的评审。</w:t>
      </w:r>
    </w:p>
    <w:p>
      <w:pPr>
        <w:pStyle w:val="5"/>
        <w:ind w:left="316" w:hanging="316" w:hangingChars="131"/>
        <w:jc w:val="center"/>
        <w:rPr>
          <w:color w:val="FF0000"/>
          <w:sz w:val="24"/>
          <w:szCs w:val="24"/>
        </w:rPr>
      </w:pPr>
    </w:p>
    <w:p>
      <w:pPr>
        <w:pStyle w:val="5"/>
        <w:ind w:left="316" w:hanging="316" w:hangingChars="131"/>
        <w:jc w:val="center"/>
        <w:rPr>
          <w:color w:val="FF0000"/>
          <w:sz w:val="24"/>
          <w:szCs w:val="24"/>
        </w:rPr>
      </w:pPr>
    </w:p>
    <w:p>
      <w:pPr>
        <w:pStyle w:val="5"/>
        <w:ind w:left="316" w:hanging="316" w:hangingChars="131"/>
        <w:jc w:val="center"/>
        <w:rPr>
          <w:color w:val="FF0000"/>
          <w:sz w:val="24"/>
          <w:szCs w:val="24"/>
        </w:rPr>
      </w:pPr>
    </w:p>
    <w:p>
      <w:pPr>
        <w:pStyle w:val="5"/>
        <w:ind w:left="316" w:hanging="316" w:hangingChars="131"/>
        <w:jc w:val="center"/>
        <w:rPr>
          <w:color w:val="FF0000"/>
          <w:sz w:val="24"/>
          <w:szCs w:val="24"/>
        </w:rPr>
      </w:pPr>
    </w:p>
    <w:p>
      <w:pPr>
        <w:pStyle w:val="5"/>
        <w:ind w:left="316" w:hanging="316" w:hangingChars="131"/>
        <w:jc w:val="center"/>
        <w:rPr>
          <w:color w:val="FF0000"/>
          <w:sz w:val="24"/>
          <w:szCs w:val="24"/>
        </w:rPr>
      </w:pPr>
    </w:p>
    <w:p>
      <w:pPr>
        <w:pStyle w:val="5"/>
        <w:ind w:left="316" w:hanging="316" w:hangingChars="131"/>
        <w:jc w:val="center"/>
        <w:rPr>
          <w:color w:val="FF0000"/>
          <w:sz w:val="24"/>
          <w:szCs w:val="24"/>
        </w:rPr>
      </w:pPr>
    </w:p>
    <w:p>
      <w:pPr>
        <w:pStyle w:val="5"/>
        <w:ind w:left="316" w:hanging="316" w:hangingChars="131"/>
        <w:jc w:val="center"/>
        <w:rPr>
          <w:color w:val="FF0000"/>
          <w:sz w:val="24"/>
          <w:szCs w:val="24"/>
        </w:rPr>
      </w:pPr>
    </w:p>
    <w:p>
      <w:pPr>
        <w:pStyle w:val="5"/>
        <w:ind w:left="316" w:hanging="316" w:hangingChars="131"/>
        <w:jc w:val="center"/>
        <w:rPr>
          <w:color w:val="FF0000"/>
          <w:sz w:val="24"/>
          <w:szCs w:val="24"/>
        </w:rPr>
      </w:pPr>
    </w:p>
    <w:p>
      <w:pPr>
        <w:pStyle w:val="5"/>
        <w:ind w:left="316" w:hanging="316" w:hangingChars="131"/>
        <w:jc w:val="center"/>
        <w:rPr>
          <w:color w:val="FF0000"/>
          <w:sz w:val="24"/>
          <w:szCs w:val="24"/>
        </w:rPr>
      </w:pPr>
    </w:p>
    <w:p>
      <w:pPr>
        <w:pStyle w:val="5"/>
        <w:ind w:left="316" w:hanging="316" w:hangingChars="131"/>
        <w:jc w:val="center"/>
        <w:rPr>
          <w:color w:val="FF0000"/>
          <w:sz w:val="24"/>
          <w:szCs w:val="24"/>
        </w:rPr>
      </w:pPr>
    </w:p>
    <w:p>
      <w:pPr>
        <w:pStyle w:val="5"/>
        <w:ind w:left="316" w:hanging="316" w:hangingChars="131"/>
        <w:jc w:val="center"/>
        <w:rPr>
          <w:color w:val="FF0000"/>
          <w:sz w:val="24"/>
          <w:szCs w:val="24"/>
        </w:rPr>
      </w:pPr>
    </w:p>
    <w:p>
      <w:pPr>
        <w:pStyle w:val="5"/>
        <w:ind w:left="316" w:hanging="316" w:hangingChars="131"/>
        <w:jc w:val="center"/>
        <w:rPr>
          <w:color w:val="FF0000"/>
          <w:sz w:val="24"/>
          <w:szCs w:val="24"/>
        </w:rPr>
      </w:pPr>
    </w:p>
    <w:p>
      <w:pPr>
        <w:pStyle w:val="5"/>
        <w:ind w:left="316" w:hanging="316" w:hangingChars="131"/>
        <w:jc w:val="center"/>
        <w:rPr>
          <w:color w:val="FF0000"/>
          <w:sz w:val="24"/>
          <w:szCs w:val="24"/>
        </w:rPr>
      </w:pPr>
    </w:p>
    <w:p>
      <w:pPr>
        <w:pStyle w:val="5"/>
        <w:ind w:left="316" w:hanging="316" w:hangingChars="131"/>
        <w:jc w:val="center"/>
        <w:rPr>
          <w:color w:val="FF0000"/>
          <w:sz w:val="24"/>
          <w:szCs w:val="24"/>
        </w:rPr>
      </w:pPr>
    </w:p>
    <w:p>
      <w:pPr>
        <w:pStyle w:val="5"/>
        <w:ind w:left="316" w:hanging="316" w:hangingChars="131"/>
        <w:jc w:val="center"/>
        <w:rPr>
          <w:color w:val="FF0000"/>
          <w:sz w:val="24"/>
          <w:szCs w:val="24"/>
        </w:rPr>
      </w:pPr>
    </w:p>
    <w:p>
      <w:pPr>
        <w:pStyle w:val="5"/>
        <w:ind w:left="316" w:hanging="316" w:hangingChars="131"/>
        <w:jc w:val="center"/>
        <w:rPr>
          <w:color w:val="FF0000"/>
          <w:sz w:val="24"/>
          <w:szCs w:val="24"/>
        </w:rPr>
      </w:pPr>
    </w:p>
    <w:p>
      <w:pPr>
        <w:pStyle w:val="5"/>
        <w:ind w:left="419" w:hanging="421" w:hangingChars="131"/>
        <w:jc w:val="center"/>
        <w:rPr>
          <w:rFonts w:ascii="黑体" w:hAnsi="黑体" w:eastAsia="黑体"/>
          <w:sz w:val="32"/>
          <w:szCs w:val="32"/>
        </w:rPr>
      </w:pPr>
      <w:r>
        <w:rPr>
          <w:rFonts w:hint="eastAsia" w:ascii="黑体" w:hAnsi="黑体" w:eastAsia="黑体"/>
          <w:sz w:val="32"/>
          <w:szCs w:val="32"/>
        </w:rPr>
        <w:t>三、</w:t>
      </w:r>
      <w:r>
        <w:rPr>
          <w:rFonts w:ascii="黑体" w:hAnsi="黑体" w:eastAsia="黑体"/>
          <w:sz w:val="32"/>
          <w:szCs w:val="32"/>
        </w:rPr>
        <w:t>法定代表人</w:t>
      </w:r>
      <w:r>
        <w:rPr>
          <w:rFonts w:hint="eastAsia" w:ascii="黑体" w:hAnsi="黑体" w:eastAsia="黑体"/>
          <w:sz w:val="32"/>
          <w:szCs w:val="32"/>
        </w:rPr>
        <w:t>身份</w:t>
      </w:r>
      <w:r>
        <w:rPr>
          <w:rFonts w:ascii="黑体" w:hAnsi="黑体" w:eastAsia="黑体"/>
          <w:sz w:val="32"/>
          <w:szCs w:val="32"/>
        </w:rPr>
        <w:t>证明书</w:t>
      </w:r>
    </w:p>
    <w:p>
      <w:pPr>
        <w:pStyle w:val="9"/>
        <w:ind w:right="380"/>
        <w:jc w:val="center"/>
      </w:pPr>
    </w:p>
    <w:p>
      <w:pPr>
        <w:pStyle w:val="9"/>
        <w:ind w:right="380"/>
        <w:jc w:val="center"/>
      </w:pPr>
    </w:p>
    <w:p>
      <w:pPr>
        <w:pStyle w:val="9"/>
        <w:ind w:right="380"/>
        <w:jc w:val="center"/>
      </w:pPr>
    </w:p>
    <w:p>
      <w:pPr>
        <w:pStyle w:val="9"/>
        <w:ind w:right="380"/>
        <w:rPr>
          <w:sz w:val="28"/>
          <w:szCs w:val="28"/>
        </w:rPr>
      </w:pPr>
      <w:r>
        <w:rPr>
          <w:rFonts w:hint="eastAsia"/>
          <w:sz w:val="28"/>
          <w:szCs w:val="28"/>
        </w:rPr>
        <w:t>单位名称：</w:t>
      </w:r>
    </w:p>
    <w:p>
      <w:pPr>
        <w:pStyle w:val="9"/>
        <w:ind w:right="380"/>
        <w:rPr>
          <w:sz w:val="28"/>
          <w:szCs w:val="28"/>
        </w:rPr>
      </w:pPr>
    </w:p>
    <w:p>
      <w:pPr>
        <w:pStyle w:val="9"/>
        <w:ind w:right="380"/>
        <w:rPr>
          <w:sz w:val="28"/>
          <w:szCs w:val="28"/>
        </w:rPr>
      </w:pPr>
      <w:r>
        <w:rPr>
          <w:rFonts w:hint="eastAsia"/>
          <w:sz w:val="28"/>
          <w:szCs w:val="28"/>
        </w:rPr>
        <w:t>地址：</w:t>
      </w:r>
    </w:p>
    <w:p>
      <w:pPr>
        <w:pStyle w:val="9"/>
        <w:ind w:right="380"/>
        <w:rPr>
          <w:sz w:val="28"/>
          <w:szCs w:val="28"/>
        </w:rPr>
      </w:pPr>
    </w:p>
    <w:p>
      <w:pPr>
        <w:pStyle w:val="9"/>
        <w:ind w:right="380"/>
        <w:rPr>
          <w:sz w:val="28"/>
          <w:szCs w:val="28"/>
        </w:rPr>
      </w:pPr>
      <w:r>
        <w:rPr>
          <w:rFonts w:hint="eastAsia"/>
          <w:sz w:val="28"/>
          <w:szCs w:val="28"/>
        </w:rPr>
        <w:t>姓名：</w:t>
      </w:r>
      <w:r>
        <w:rPr>
          <w:sz w:val="28"/>
          <w:szCs w:val="28"/>
        </w:rPr>
        <w:t xml:space="preserve"> </w:t>
      </w:r>
      <w:r>
        <w:rPr>
          <w:rFonts w:hint="eastAsia"/>
          <w:sz w:val="28"/>
          <w:szCs w:val="28"/>
        </w:rPr>
        <w:t xml:space="preserve">                </w:t>
      </w:r>
      <w:r>
        <w:rPr>
          <w:sz w:val="28"/>
          <w:szCs w:val="28"/>
        </w:rPr>
        <w:t xml:space="preserve">性别： </w:t>
      </w:r>
      <w:r>
        <w:rPr>
          <w:rFonts w:hint="eastAsia"/>
          <w:sz w:val="28"/>
          <w:szCs w:val="28"/>
        </w:rPr>
        <w:t xml:space="preserve">       </w:t>
      </w:r>
      <w:r>
        <w:rPr>
          <w:sz w:val="28"/>
          <w:szCs w:val="28"/>
        </w:rPr>
        <w:t xml:space="preserve">年龄： </w:t>
      </w:r>
      <w:r>
        <w:rPr>
          <w:rFonts w:hint="eastAsia"/>
          <w:sz w:val="28"/>
          <w:szCs w:val="28"/>
        </w:rPr>
        <w:t xml:space="preserve">   </w:t>
      </w:r>
    </w:p>
    <w:p>
      <w:pPr>
        <w:pStyle w:val="9"/>
        <w:ind w:right="380"/>
        <w:rPr>
          <w:sz w:val="28"/>
          <w:szCs w:val="28"/>
        </w:rPr>
      </w:pPr>
      <w:r>
        <w:rPr>
          <w:sz w:val="28"/>
          <w:szCs w:val="28"/>
        </w:rPr>
        <w:t xml:space="preserve">身份证号码： </w:t>
      </w:r>
      <w:r>
        <w:rPr>
          <w:rFonts w:hint="eastAsia"/>
          <w:sz w:val="28"/>
          <w:szCs w:val="28"/>
        </w:rPr>
        <w:t xml:space="preserve">                        </w:t>
      </w:r>
      <w:r>
        <w:rPr>
          <w:sz w:val="28"/>
          <w:szCs w:val="28"/>
        </w:rPr>
        <w:t>职务：</w:t>
      </w:r>
    </w:p>
    <w:p>
      <w:pPr>
        <w:pStyle w:val="9"/>
        <w:ind w:right="380"/>
        <w:rPr>
          <w:sz w:val="28"/>
          <w:szCs w:val="28"/>
        </w:rPr>
      </w:pPr>
      <w:r>
        <w:rPr>
          <w:rFonts w:hint="eastAsia"/>
          <w:sz w:val="28"/>
          <w:szCs w:val="28"/>
        </w:rPr>
        <w:t>系</w:t>
      </w:r>
      <w:r>
        <w:rPr>
          <w:rFonts w:hint="eastAsia"/>
          <w:sz w:val="28"/>
          <w:szCs w:val="28"/>
          <w:u w:val="single"/>
        </w:rPr>
        <w:t xml:space="preserve">                                    </w:t>
      </w:r>
      <w:r>
        <w:rPr>
          <w:rFonts w:hint="eastAsia"/>
          <w:sz w:val="28"/>
          <w:szCs w:val="28"/>
        </w:rPr>
        <w:t>（单位名称）的法定代表人。</w:t>
      </w:r>
    </w:p>
    <w:p>
      <w:pPr>
        <w:pStyle w:val="9"/>
        <w:ind w:right="380" w:firstLine="700" w:firstLineChars="250"/>
        <w:rPr>
          <w:sz w:val="28"/>
          <w:szCs w:val="28"/>
        </w:rPr>
      </w:pPr>
    </w:p>
    <w:p>
      <w:pPr>
        <w:pStyle w:val="9"/>
        <w:ind w:right="380" w:firstLine="700" w:firstLineChars="250"/>
        <w:rPr>
          <w:sz w:val="28"/>
          <w:szCs w:val="28"/>
        </w:rPr>
      </w:pPr>
      <w:r>
        <w:rPr>
          <w:sz w:val="28"/>
          <w:szCs w:val="28"/>
        </w:rPr>
        <w:t>特此证明</w:t>
      </w:r>
      <w:r>
        <w:rPr>
          <w:rFonts w:hint="eastAsia"/>
          <w:sz w:val="28"/>
          <w:szCs w:val="28"/>
        </w:rPr>
        <w:t>。</w:t>
      </w:r>
    </w:p>
    <w:p>
      <w:pPr>
        <w:pStyle w:val="9"/>
        <w:ind w:right="380"/>
        <w:rPr>
          <w:sz w:val="28"/>
          <w:szCs w:val="28"/>
          <w:lang w:val="en-US"/>
        </w:rPr>
      </w:pPr>
      <w:r>
        <w:rPr>
          <w:rFonts w:hint="eastAsia"/>
          <w:sz w:val="28"/>
          <w:szCs w:val="28"/>
          <w:lang w:val="en-US"/>
        </w:rPr>
        <w:t xml:space="preserve">                     </w:t>
      </w:r>
    </w:p>
    <w:p>
      <w:pPr>
        <w:pStyle w:val="9"/>
        <w:ind w:right="380" w:firstLine="700" w:firstLineChars="250"/>
        <w:rPr>
          <w:sz w:val="28"/>
          <w:szCs w:val="28"/>
          <w:lang w:val="en-US"/>
        </w:rPr>
      </w:pPr>
      <w:r>
        <w:rPr>
          <w:rFonts w:hint="eastAsia"/>
          <w:sz w:val="28"/>
          <w:szCs w:val="28"/>
          <w:lang w:val="en-US"/>
        </w:rPr>
        <w:t xml:space="preserve">                        </w:t>
      </w:r>
    </w:p>
    <w:p>
      <w:pPr>
        <w:pStyle w:val="9"/>
        <w:ind w:right="380" w:firstLine="5600" w:firstLineChars="2000"/>
        <w:rPr>
          <w:sz w:val="28"/>
          <w:szCs w:val="28"/>
        </w:rPr>
      </w:pPr>
      <w:r>
        <w:rPr>
          <w:sz w:val="28"/>
          <w:szCs w:val="28"/>
        </w:rPr>
        <w:t>单位（签章）：</w:t>
      </w:r>
    </w:p>
    <w:p>
      <w:pPr>
        <w:pStyle w:val="9"/>
        <w:wordWrap w:val="0"/>
        <w:ind w:right="380"/>
        <w:jc w:val="right"/>
        <w:rPr>
          <w:sz w:val="28"/>
          <w:szCs w:val="28"/>
        </w:rPr>
      </w:pPr>
      <w:r>
        <w:rPr>
          <w:rFonts w:hint="eastAsia"/>
          <w:sz w:val="28"/>
          <w:szCs w:val="28"/>
        </w:rPr>
        <w:t xml:space="preserve">年    月         </w:t>
      </w:r>
    </w:p>
    <w:p>
      <w:pPr>
        <w:pStyle w:val="9"/>
        <w:ind w:right="380"/>
        <w:rPr>
          <w:sz w:val="28"/>
          <w:szCs w:val="28"/>
        </w:rPr>
      </w:pPr>
    </w:p>
    <w:p>
      <w:pPr>
        <w:pStyle w:val="9"/>
        <w:ind w:right="380"/>
        <w:rPr>
          <w:sz w:val="28"/>
          <w:szCs w:val="28"/>
        </w:rPr>
      </w:pPr>
    </w:p>
    <w:p>
      <w:pPr>
        <w:pStyle w:val="9"/>
        <w:ind w:right="380"/>
        <w:rPr>
          <w:sz w:val="28"/>
          <w:szCs w:val="28"/>
        </w:rPr>
      </w:pPr>
    </w:p>
    <w:p>
      <w:pPr>
        <w:pStyle w:val="9"/>
        <w:ind w:right="380"/>
        <w:rPr>
          <w:sz w:val="28"/>
          <w:szCs w:val="28"/>
        </w:rPr>
      </w:pPr>
      <w:r>
        <w:rPr>
          <w:sz w:val="28"/>
          <w:szCs w:val="28"/>
        </w:rPr>
        <w:t>附</w:t>
      </w:r>
      <w:r>
        <w:rPr>
          <w:rFonts w:hint="eastAsia"/>
          <w:sz w:val="28"/>
          <w:szCs w:val="28"/>
        </w:rPr>
        <w:t>：法定代表人</w:t>
      </w:r>
      <w:r>
        <w:rPr>
          <w:sz w:val="28"/>
          <w:szCs w:val="28"/>
        </w:rPr>
        <w:t>身份证复印件</w:t>
      </w:r>
      <w:r>
        <w:rPr>
          <w:rFonts w:hint="eastAsia"/>
          <w:sz w:val="28"/>
          <w:szCs w:val="28"/>
        </w:rPr>
        <w:t>或扫描件</w:t>
      </w:r>
      <w:r>
        <w:rPr>
          <w:sz w:val="28"/>
          <w:szCs w:val="28"/>
        </w:rPr>
        <w:t>加盖公章</w:t>
      </w:r>
    </w:p>
    <w:p>
      <w:pPr>
        <w:pStyle w:val="9"/>
        <w:ind w:right="380"/>
        <w:rPr>
          <w:sz w:val="28"/>
          <w:szCs w:val="28"/>
        </w:rPr>
      </w:pPr>
    </w:p>
    <w:p>
      <w:pPr>
        <w:pStyle w:val="9"/>
        <w:ind w:right="380"/>
        <w:rPr>
          <w:sz w:val="28"/>
          <w:szCs w:val="28"/>
        </w:rPr>
      </w:pPr>
    </w:p>
    <w:p>
      <w:pPr>
        <w:pStyle w:val="5"/>
        <w:ind w:left="-52" w:leftChars="-191" w:hanging="368" w:hangingChars="131"/>
        <w:jc w:val="center"/>
        <w:rPr>
          <w:color w:val="FF0000"/>
          <w:sz w:val="28"/>
          <w:szCs w:val="28"/>
        </w:rPr>
      </w:pPr>
      <w:r>
        <w:rPr>
          <w:rFonts w:hint="eastAsia"/>
          <w:color w:val="FF0000"/>
          <w:sz w:val="28"/>
          <w:szCs w:val="28"/>
        </w:rPr>
        <w:t>注：必须提供法定代表人（负责人）有效期内身份证（正反面）扫描件（非中国境内居民，可提供公安部门认可的身份证明材料），否则将导致投标无效。</w:t>
      </w:r>
    </w:p>
    <w:p>
      <w:pPr>
        <w:pStyle w:val="5"/>
        <w:ind w:left="-52" w:leftChars="-191" w:hanging="368" w:hangingChars="131"/>
        <w:jc w:val="center"/>
        <w:rPr>
          <w:color w:val="FF0000"/>
          <w:sz w:val="28"/>
          <w:szCs w:val="28"/>
        </w:rPr>
      </w:pPr>
    </w:p>
    <w:p>
      <w:pPr>
        <w:pStyle w:val="5"/>
        <w:ind w:left="-52" w:leftChars="-191" w:hanging="368" w:hangingChars="131"/>
        <w:jc w:val="center"/>
        <w:rPr>
          <w:color w:val="FF0000"/>
          <w:sz w:val="28"/>
          <w:szCs w:val="28"/>
        </w:rPr>
      </w:pPr>
    </w:p>
    <w:p>
      <w:pPr>
        <w:pStyle w:val="5"/>
        <w:ind w:left="-52" w:leftChars="-191" w:hanging="368" w:hangingChars="131"/>
        <w:jc w:val="center"/>
        <w:rPr>
          <w:color w:val="FF0000"/>
          <w:sz w:val="28"/>
          <w:szCs w:val="28"/>
        </w:rPr>
      </w:pPr>
    </w:p>
    <w:p>
      <w:pPr>
        <w:pStyle w:val="5"/>
        <w:ind w:left="-52" w:leftChars="-191" w:hanging="368" w:hangingChars="131"/>
        <w:jc w:val="center"/>
        <w:rPr>
          <w:color w:val="FF0000"/>
          <w:sz w:val="28"/>
          <w:szCs w:val="28"/>
        </w:rPr>
      </w:pPr>
    </w:p>
    <w:p>
      <w:pPr>
        <w:pStyle w:val="5"/>
        <w:ind w:left="-52" w:leftChars="-191" w:hanging="368" w:hangingChars="131"/>
        <w:jc w:val="center"/>
        <w:rPr>
          <w:color w:val="FF0000"/>
          <w:sz w:val="28"/>
          <w:szCs w:val="28"/>
        </w:rPr>
      </w:pPr>
    </w:p>
    <w:p>
      <w:pPr>
        <w:pStyle w:val="5"/>
        <w:ind w:left="-52" w:leftChars="-191" w:hanging="368" w:hangingChars="131"/>
        <w:jc w:val="center"/>
        <w:rPr>
          <w:color w:val="FF0000"/>
          <w:sz w:val="28"/>
          <w:szCs w:val="28"/>
        </w:rPr>
      </w:pPr>
    </w:p>
    <w:p>
      <w:pPr>
        <w:pStyle w:val="5"/>
        <w:ind w:left="-52" w:leftChars="-191" w:hanging="368" w:hangingChars="131"/>
        <w:jc w:val="center"/>
        <w:rPr>
          <w:color w:val="FF0000"/>
          <w:sz w:val="28"/>
          <w:szCs w:val="28"/>
        </w:rPr>
      </w:pPr>
    </w:p>
    <w:p>
      <w:pPr>
        <w:pStyle w:val="5"/>
        <w:ind w:left="-52" w:leftChars="-191" w:hanging="368" w:hangingChars="131"/>
        <w:jc w:val="center"/>
        <w:rPr>
          <w:color w:val="FF0000"/>
          <w:sz w:val="28"/>
          <w:szCs w:val="28"/>
        </w:rPr>
      </w:pPr>
    </w:p>
    <w:p>
      <w:pPr>
        <w:pStyle w:val="5"/>
        <w:ind w:left="-52" w:leftChars="-191" w:hanging="368" w:hangingChars="131"/>
        <w:jc w:val="center"/>
        <w:rPr>
          <w:color w:val="FF0000"/>
          <w:sz w:val="28"/>
          <w:szCs w:val="28"/>
        </w:rPr>
      </w:pPr>
    </w:p>
    <w:p>
      <w:pPr>
        <w:pStyle w:val="5"/>
        <w:ind w:left="-52" w:leftChars="-191" w:hanging="368" w:hangingChars="131"/>
        <w:jc w:val="center"/>
        <w:rPr>
          <w:color w:val="FF0000"/>
          <w:sz w:val="28"/>
          <w:szCs w:val="28"/>
        </w:rPr>
      </w:pPr>
    </w:p>
    <w:p>
      <w:pPr>
        <w:pStyle w:val="5"/>
        <w:ind w:left="-52" w:leftChars="-191" w:hanging="368" w:hangingChars="131"/>
        <w:jc w:val="center"/>
        <w:rPr>
          <w:color w:val="FF0000"/>
          <w:sz w:val="28"/>
          <w:szCs w:val="28"/>
        </w:rPr>
      </w:pPr>
    </w:p>
    <w:p>
      <w:pPr>
        <w:pStyle w:val="5"/>
        <w:ind w:left="-52" w:leftChars="-191" w:hanging="368" w:hangingChars="131"/>
        <w:jc w:val="center"/>
        <w:rPr>
          <w:color w:val="FF0000"/>
          <w:sz w:val="28"/>
          <w:szCs w:val="28"/>
        </w:rPr>
      </w:pPr>
    </w:p>
    <w:p>
      <w:pPr>
        <w:pStyle w:val="5"/>
        <w:ind w:left="-52" w:leftChars="-191" w:hanging="368" w:hangingChars="131"/>
        <w:jc w:val="center"/>
        <w:rPr>
          <w:color w:val="FF0000"/>
          <w:sz w:val="28"/>
          <w:szCs w:val="28"/>
        </w:rPr>
      </w:pPr>
    </w:p>
    <w:p>
      <w:pPr>
        <w:pStyle w:val="5"/>
        <w:ind w:left="-52" w:leftChars="-191" w:hanging="368" w:hangingChars="131"/>
        <w:jc w:val="center"/>
        <w:rPr>
          <w:color w:val="FF0000"/>
          <w:sz w:val="28"/>
          <w:szCs w:val="28"/>
        </w:rPr>
      </w:pPr>
    </w:p>
    <w:p>
      <w:pPr>
        <w:pStyle w:val="5"/>
        <w:ind w:left="1" w:leftChars="-191" w:hanging="421" w:hangingChars="131"/>
        <w:jc w:val="center"/>
        <w:rPr>
          <w:rFonts w:ascii="黑体" w:hAnsi="黑体" w:eastAsia="黑体"/>
          <w:sz w:val="32"/>
          <w:szCs w:val="32"/>
        </w:rPr>
      </w:pPr>
      <w:r>
        <w:rPr>
          <w:rFonts w:hint="eastAsia" w:ascii="黑体" w:hAnsi="黑体" w:eastAsia="黑体"/>
          <w:sz w:val="32"/>
          <w:szCs w:val="32"/>
        </w:rPr>
        <w:t>四、</w:t>
      </w:r>
      <w:r>
        <w:rPr>
          <w:rFonts w:ascii="黑体" w:hAnsi="黑体" w:eastAsia="黑体"/>
          <w:sz w:val="32"/>
          <w:szCs w:val="32"/>
        </w:rPr>
        <w:t>法定代表人授权委托书</w:t>
      </w:r>
    </w:p>
    <w:p>
      <w:pPr>
        <w:pStyle w:val="9"/>
        <w:ind w:right="380"/>
        <w:jc w:val="center"/>
      </w:pPr>
    </w:p>
    <w:p>
      <w:pPr>
        <w:pStyle w:val="9"/>
        <w:ind w:right="380" w:firstLine="840" w:firstLineChars="300"/>
        <w:rPr>
          <w:sz w:val="28"/>
          <w:szCs w:val="28"/>
        </w:rPr>
      </w:pPr>
    </w:p>
    <w:p>
      <w:pPr>
        <w:widowControl/>
        <w:tabs>
          <w:tab w:val="left" w:pos="8360"/>
        </w:tabs>
        <w:ind w:right="458" w:rightChars="208"/>
        <w:rPr>
          <w:rFonts w:asciiTheme="minorEastAsia" w:hAnsiTheme="minorEastAsia" w:eastAsiaTheme="minorEastAsia"/>
          <w:sz w:val="21"/>
          <w:szCs w:val="21"/>
        </w:rPr>
      </w:pPr>
      <w:r>
        <w:rPr>
          <w:sz w:val="28"/>
          <w:szCs w:val="28"/>
        </w:rPr>
        <w:t>本授权委托书声明：我</w:t>
      </w:r>
      <w:r>
        <w:rPr>
          <w:sz w:val="28"/>
          <w:szCs w:val="28"/>
          <w:u w:val="single"/>
        </w:rPr>
        <w:t xml:space="preserve"> </w:t>
      </w:r>
      <w:r>
        <w:rPr>
          <w:rFonts w:hint="eastAsia"/>
          <w:sz w:val="28"/>
          <w:szCs w:val="28"/>
          <w:u w:val="single"/>
        </w:rPr>
        <w:t xml:space="preserve">  </w:t>
      </w:r>
      <w:r>
        <w:rPr>
          <w:sz w:val="28"/>
          <w:szCs w:val="28"/>
          <w:u w:val="single"/>
        </w:rPr>
        <w:tab/>
      </w:r>
      <w:r>
        <w:rPr>
          <w:rFonts w:hint="eastAsia"/>
          <w:sz w:val="28"/>
          <w:szCs w:val="28"/>
          <w:u w:val="single"/>
        </w:rPr>
        <w:t xml:space="preserve">  </w:t>
      </w:r>
      <w:r>
        <w:rPr>
          <w:sz w:val="28"/>
          <w:szCs w:val="28"/>
          <w:u w:val="single"/>
        </w:rPr>
        <w:tab/>
      </w:r>
      <w:r>
        <w:rPr>
          <w:sz w:val="28"/>
          <w:szCs w:val="28"/>
        </w:rPr>
        <w:t>（姓名）系</w:t>
      </w:r>
      <w:r>
        <w:rPr>
          <w:rFonts w:hint="eastAsia"/>
          <w:sz w:val="28"/>
          <w:szCs w:val="28"/>
          <w:u w:val="single"/>
        </w:rPr>
        <w:t xml:space="preserve">                               </w:t>
      </w:r>
      <w:r>
        <w:rPr>
          <w:sz w:val="28"/>
          <w:szCs w:val="28"/>
        </w:rPr>
        <w:t>（投标人名称）的法定代表人，</w:t>
      </w:r>
      <w:r>
        <w:rPr>
          <w:rFonts w:hint="eastAsia"/>
          <w:sz w:val="28"/>
          <w:szCs w:val="28"/>
        </w:rPr>
        <w:t>身份证号：</w:t>
      </w:r>
      <w:r>
        <w:rPr>
          <w:rFonts w:hint="eastAsia"/>
          <w:sz w:val="28"/>
          <w:szCs w:val="28"/>
          <w:u w:val="single"/>
        </w:rPr>
        <w:t xml:space="preserve">                             </w:t>
      </w:r>
      <w:r>
        <w:rPr>
          <w:rFonts w:hint="eastAsia"/>
          <w:sz w:val="28"/>
          <w:szCs w:val="28"/>
        </w:rPr>
        <w:t>，现</w:t>
      </w:r>
      <w:r>
        <w:rPr>
          <w:sz w:val="28"/>
          <w:szCs w:val="28"/>
        </w:rPr>
        <w:t>授权委托</w:t>
      </w:r>
      <w:r>
        <w:rPr>
          <w:sz w:val="28"/>
          <w:szCs w:val="28"/>
          <w:u w:val="single"/>
        </w:rPr>
        <w:t xml:space="preserve"> </w:t>
      </w:r>
      <w:r>
        <w:rPr>
          <w:sz w:val="28"/>
          <w:szCs w:val="28"/>
          <w:u w:val="single"/>
        </w:rPr>
        <w:tab/>
      </w:r>
      <w:r>
        <w:rPr>
          <w:sz w:val="28"/>
          <w:szCs w:val="28"/>
          <w:u w:val="single"/>
        </w:rPr>
        <w:tab/>
      </w:r>
      <w:r>
        <w:rPr>
          <w:rFonts w:hint="eastAsia"/>
          <w:sz w:val="28"/>
          <w:szCs w:val="28"/>
          <w:u w:val="single"/>
        </w:rPr>
        <w:t xml:space="preserve">                  </w:t>
      </w:r>
      <w:r>
        <w:rPr>
          <w:sz w:val="28"/>
          <w:szCs w:val="28"/>
          <w:u w:val="single"/>
        </w:rPr>
        <w:tab/>
      </w:r>
      <w:r>
        <w:rPr>
          <w:sz w:val="28"/>
          <w:szCs w:val="28"/>
        </w:rPr>
        <w:t>（单位名称）的</w:t>
      </w:r>
      <w:r>
        <w:rPr>
          <w:sz w:val="28"/>
          <w:szCs w:val="28"/>
          <w:u w:val="single"/>
        </w:rPr>
        <w:t xml:space="preserve"> </w:t>
      </w:r>
      <w:r>
        <w:rPr>
          <w:sz w:val="28"/>
          <w:szCs w:val="28"/>
          <w:u w:val="single"/>
        </w:rPr>
        <w:tab/>
      </w:r>
      <w:r>
        <w:rPr>
          <w:rFonts w:hint="eastAsia"/>
          <w:sz w:val="28"/>
          <w:szCs w:val="28"/>
          <w:u w:val="single"/>
        </w:rPr>
        <w:t xml:space="preserve">      </w:t>
      </w:r>
      <w:r>
        <w:rPr>
          <w:sz w:val="28"/>
          <w:szCs w:val="28"/>
          <w:u w:val="single"/>
        </w:rPr>
        <w:tab/>
      </w:r>
      <w:r>
        <w:rPr>
          <w:sz w:val="28"/>
          <w:szCs w:val="28"/>
        </w:rPr>
        <w:t>（姓名）</w:t>
      </w:r>
      <w:r>
        <w:rPr>
          <w:rFonts w:hint="eastAsia"/>
          <w:sz w:val="28"/>
          <w:szCs w:val="28"/>
        </w:rPr>
        <w:t>，身份证号：</w:t>
      </w:r>
      <w:r>
        <w:rPr>
          <w:rFonts w:hint="eastAsia"/>
          <w:sz w:val="28"/>
          <w:szCs w:val="28"/>
          <w:u w:val="single"/>
        </w:rPr>
        <w:t xml:space="preserve">                                       </w:t>
      </w:r>
      <w:r>
        <w:rPr>
          <w:rFonts w:hint="eastAsia"/>
          <w:sz w:val="28"/>
          <w:szCs w:val="28"/>
        </w:rPr>
        <w:t>，</w:t>
      </w:r>
      <w:r>
        <w:rPr>
          <w:sz w:val="28"/>
          <w:szCs w:val="28"/>
        </w:rPr>
        <w:t>为</w:t>
      </w:r>
      <w:r>
        <w:rPr>
          <w:rFonts w:hint="eastAsia"/>
          <w:sz w:val="28"/>
          <w:szCs w:val="28"/>
        </w:rPr>
        <w:t>我单位签署（项目名称：</w:t>
      </w:r>
      <w:r>
        <w:rPr>
          <w:rFonts w:hint="eastAsia" w:ascii="仿宋_GB2312" w:hAnsi="黑体" w:eastAsia="仿宋_GB2312"/>
          <w:sz w:val="28"/>
          <w:szCs w:val="32"/>
        </w:rPr>
        <w:t>光明区田寮社区第六工业区第4栋厂房及宿舍物业公开招标项目,</w:t>
      </w:r>
      <w:r>
        <w:rPr>
          <w:rFonts w:hint="eastAsia"/>
          <w:sz w:val="28"/>
          <w:szCs w:val="28"/>
        </w:rPr>
        <w:t>项目编号：</w:t>
      </w:r>
      <w:r>
        <w:rPr>
          <w:rFonts w:asciiTheme="minorEastAsia" w:hAnsiTheme="minorEastAsia" w:eastAsiaTheme="minorEastAsia"/>
          <w:sz w:val="28"/>
          <w:szCs w:val="28"/>
        </w:rPr>
        <w:t>GMSZ2020036350</w:t>
      </w:r>
      <w:r>
        <w:rPr>
          <w:rFonts w:hint="eastAsia"/>
          <w:sz w:val="28"/>
          <w:szCs w:val="28"/>
        </w:rPr>
        <w:t>）的投标文件、参与项目投标、澄清投标文件、签署合同和处理与该项目有关的一切事务。在此过程中所签署的一切文件及处理与该项目有关的一切事务，我均予以承认；</w:t>
      </w:r>
    </w:p>
    <w:p>
      <w:pPr>
        <w:pStyle w:val="9"/>
        <w:spacing w:line="360" w:lineRule="auto"/>
        <w:ind w:right="380" w:firstLine="840" w:firstLineChars="300"/>
        <w:rPr>
          <w:sz w:val="28"/>
          <w:szCs w:val="28"/>
        </w:rPr>
      </w:pPr>
      <w:r>
        <w:rPr>
          <w:rFonts w:hint="eastAsia"/>
          <w:sz w:val="28"/>
          <w:szCs w:val="28"/>
        </w:rPr>
        <w:t>被授权人签署的所有文件不因授权的撤消而消失；被授权人无转委权。</w:t>
      </w:r>
    </w:p>
    <w:p>
      <w:pPr>
        <w:pStyle w:val="9"/>
        <w:spacing w:line="360" w:lineRule="auto"/>
        <w:ind w:right="380"/>
        <w:rPr>
          <w:sz w:val="28"/>
          <w:szCs w:val="28"/>
        </w:rPr>
      </w:pPr>
      <w:r>
        <w:rPr>
          <w:rFonts w:hint="eastAsia"/>
          <w:sz w:val="28"/>
          <w:szCs w:val="28"/>
        </w:rPr>
        <w:t xml:space="preserve">      被授权人：               性别：             年龄：</w:t>
      </w:r>
    </w:p>
    <w:p>
      <w:pPr>
        <w:pStyle w:val="9"/>
        <w:spacing w:line="360" w:lineRule="auto"/>
        <w:ind w:right="380" w:firstLine="840" w:firstLineChars="300"/>
        <w:rPr>
          <w:sz w:val="28"/>
          <w:szCs w:val="28"/>
        </w:rPr>
      </w:pPr>
      <w:r>
        <w:rPr>
          <w:rFonts w:hint="eastAsia"/>
          <w:sz w:val="28"/>
          <w:szCs w:val="28"/>
        </w:rPr>
        <w:t>联系电话：               手机：</w:t>
      </w:r>
    </w:p>
    <w:p>
      <w:pPr>
        <w:pStyle w:val="9"/>
        <w:spacing w:line="360" w:lineRule="auto"/>
        <w:ind w:right="380" w:firstLine="840" w:firstLineChars="300"/>
        <w:rPr>
          <w:sz w:val="28"/>
          <w:szCs w:val="28"/>
        </w:rPr>
      </w:pPr>
    </w:p>
    <w:p>
      <w:pPr>
        <w:pStyle w:val="9"/>
        <w:spacing w:line="360" w:lineRule="auto"/>
        <w:ind w:right="380" w:firstLine="840" w:firstLineChars="300"/>
        <w:rPr>
          <w:sz w:val="28"/>
          <w:szCs w:val="28"/>
        </w:rPr>
      </w:pPr>
      <w:r>
        <w:rPr>
          <w:rFonts w:hint="eastAsia"/>
          <w:sz w:val="28"/>
          <w:szCs w:val="28"/>
        </w:rPr>
        <w:t>附：被授权人身份证复印件或扫描件加盖公章。</w:t>
      </w:r>
    </w:p>
    <w:p>
      <w:pPr>
        <w:pStyle w:val="9"/>
        <w:spacing w:line="360" w:lineRule="auto"/>
        <w:ind w:right="380"/>
        <w:rPr>
          <w:sz w:val="24"/>
          <w:szCs w:val="24"/>
        </w:rPr>
      </w:pPr>
    </w:p>
    <w:p>
      <w:pPr>
        <w:pStyle w:val="9"/>
        <w:wordWrap w:val="0"/>
        <w:spacing w:line="360" w:lineRule="auto"/>
        <w:ind w:right="380"/>
        <w:jc w:val="right"/>
        <w:rPr>
          <w:sz w:val="24"/>
          <w:szCs w:val="24"/>
        </w:rPr>
      </w:pPr>
      <w:r>
        <w:rPr>
          <w:sz w:val="24"/>
          <w:szCs w:val="24"/>
        </w:rPr>
        <w:t>投标人（盖章）：</w:t>
      </w:r>
      <w:r>
        <w:rPr>
          <w:rFonts w:hint="eastAsia"/>
          <w:sz w:val="24"/>
          <w:szCs w:val="24"/>
        </w:rPr>
        <w:t xml:space="preserve">                </w:t>
      </w:r>
    </w:p>
    <w:p>
      <w:pPr>
        <w:pStyle w:val="9"/>
        <w:spacing w:line="360" w:lineRule="auto"/>
        <w:ind w:right="380"/>
        <w:rPr>
          <w:sz w:val="24"/>
          <w:szCs w:val="24"/>
        </w:rPr>
      </w:pPr>
    </w:p>
    <w:p>
      <w:pPr>
        <w:pStyle w:val="9"/>
        <w:wordWrap w:val="0"/>
        <w:spacing w:line="360" w:lineRule="auto"/>
        <w:ind w:right="380"/>
        <w:jc w:val="right"/>
        <w:rPr>
          <w:sz w:val="24"/>
          <w:szCs w:val="24"/>
        </w:rPr>
      </w:pPr>
      <w:r>
        <w:rPr>
          <w:sz w:val="24"/>
          <w:szCs w:val="24"/>
        </w:rPr>
        <w:t>法定代表人（签字）：</w:t>
      </w:r>
      <w:r>
        <w:rPr>
          <w:rFonts w:hint="eastAsia"/>
          <w:sz w:val="24"/>
          <w:szCs w:val="24"/>
        </w:rPr>
        <w:t xml:space="preserve">            </w:t>
      </w:r>
    </w:p>
    <w:p>
      <w:pPr>
        <w:pStyle w:val="9"/>
        <w:spacing w:line="360" w:lineRule="auto"/>
        <w:ind w:right="380"/>
        <w:rPr>
          <w:sz w:val="24"/>
          <w:szCs w:val="24"/>
        </w:rPr>
      </w:pPr>
    </w:p>
    <w:p>
      <w:pPr>
        <w:pStyle w:val="9"/>
        <w:spacing w:line="360" w:lineRule="auto"/>
        <w:ind w:right="380"/>
        <w:jc w:val="right"/>
        <w:rPr>
          <w:sz w:val="24"/>
          <w:szCs w:val="24"/>
        </w:rPr>
      </w:pPr>
      <w:r>
        <w:rPr>
          <w:sz w:val="24"/>
          <w:szCs w:val="24"/>
        </w:rPr>
        <w:t xml:space="preserve">授权委托日期： </w:t>
      </w:r>
      <w:r>
        <w:rPr>
          <w:sz w:val="24"/>
          <w:szCs w:val="24"/>
        </w:rPr>
        <w:tab/>
      </w:r>
      <w:r>
        <w:rPr>
          <w:sz w:val="24"/>
          <w:szCs w:val="24"/>
        </w:rPr>
        <w:t xml:space="preserve">年 </w:t>
      </w:r>
      <w:r>
        <w:rPr>
          <w:sz w:val="24"/>
          <w:szCs w:val="24"/>
        </w:rPr>
        <w:tab/>
      </w:r>
      <w:r>
        <w:rPr>
          <w:sz w:val="24"/>
          <w:szCs w:val="24"/>
        </w:rPr>
        <w:t xml:space="preserve">月 </w:t>
      </w:r>
      <w:r>
        <w:rPr>
          <w:sz w:val="24"/>
          <w:szCs w:val="24"/>
        </w:rPr>
        <w:tab/>
      </w:r>
      <w:r>
        <w:rPr>
          <w:sz w:val="24"/>
          <w:szCs w:val="24"/>
        </w:rPr>
        <w:t>日</w:t>
      </w:r>
    </w:p>
    <w:p>
      <w:pPr>
        <w:pStyle w:val="9"/>
        <w:spacing w:line="360" w:lineRule="auto"/>
        <w:ind w:right="380"/>
        <w:rPr>
          <w:sz w:val="24"/>
          <w:szCs w:val="24"/>
        </w:rPr>
      </w:pPr>
    </w:p>
    <w:p>
      <w:pPr>
        <w:pStyle w:val="9"/>
        <w:spacing w:line="360" w:lineRule="auto"/>
        <w:ind w:right="380"/>
        <w:rPr>
          <w:b/>
          <w:color w:val="FF0000"/>
          <w:sz w:val="24"/>
          <w:szCs w:val="24"/>
        </w:rPr>
      </w:pPr>
      <w:r>
        <w:rPr>
          <w:rFonts w:hint="eastAsia"/>
          <w:b/>
          <w:color w:val="FF0000"/>
          <w:sz w:val="24"/>
          <w:szCs w:val="24"/>
        </w:rPr>
        <w:t>注：须提供被授权人有效期内身份证（正反面）扫描件。</w:t>
      </w:r>
    </w:p>
    <w:p>
      <w:pPr>
        <w:pStyle w:val="9"/>
        <w:spacing w:line="360" w:lineRule="auto"/>
        <w:ind w:right="380"/>
        <w:rPr>
          <w:b/>
          <w:color w:val="FF0000"/>
          <w:sz w:val="24"/>
          <w:szCs w:val="24"/>
        </w:rPr>
      </w:pPr>
      <w:r>
        <w:rPr>
          <w:rFonts w:hint="eastAsia"/>
          <w:b/>
          <w:color w:val="FF0000"/>
          <w:sz w:val="24"/>
          <w:szCs w:val="24"/>
        </w:rPr>
        <w:t>投标人确保被授权人的联系方式正确，并保证在项目开评标过程中及项目履约期间保持电话、手机畅通。如因</w:t>
      </w:r>
    </w:p>
    <w:p>
      <w:pPr>
        <w:pStyle w:val="9"/>
        <w:spacing w:line="360" w:lineRule="auto"/>
        <w:ind w:right="380"/>
        <w:rPr>
          <w:b/>
          <w:color w:val="FF0000"/>
          <w:sz w:val="24"/>
          <w:szCs w:val="24"/>
        </w:rPr>
      </w:pPr>
      <w:r>
        <w:rPr>
          <w:rFonts w:hint="eastAsia"/>
          <w:b/>
          <w:color w:val="FF0000"/>
          <w:sz w:val="24"/>
          <w:szCs w:val="24"/>
        </w:rPr>
        <w:t>投标人自身原因导致无法联系的情况，投标人应自行承担不利后果。</w:t>
      </w:r>
    </w:p>
    <w:p>
      <w:pPr>
        <w:pStyle w:val="5"/>
        <w:ind w:left="419" w:hanging="421" w:hangingChars="131"/>
        <w:jc w:val="center"/>
        <w:rPr>
          <w:rFonts w:ascii="黑体" w:hAnsi="黑体" w:eastAsia="黑体"/>
          <w:sz w:val="32"/>
          <w:szCs w:val="32"/>
        </w:rPr>
      </w:pPr>
      <w:r>
        <w:rPr>
          <w:rFonts w:ascii="黑体" w:hAnsi="黑体" w:eastAsia="黑体"/>
          <w:sz w:val="32"/>
          <w:szCs w:val="32"/>
        </w:rPr>
        <w:br w:type="page"/>
      </w:r>
    </w:p>
    <w:p>
      <w:pPr>
        <w:pStyle w:val="5"/>
        <w:ind w:left="1" w:firstLine="3" w:firstLineChars="1"/>
        <w:jc w:val="center"/>
        <w:rPr>
          <w:rFonts w:ascii="黑体" w:hAnsi="黑体" w:eastAsia="黑体"/>
          <w:sz w:val="32"/>
          <w:szCs w:val="32"/>
        </w:rPr>
      </w:pPr>
      <w:r>
        <w:rPr>
          <w:rFonts w:hint="eastAsia" w:ascii="黑体" w:hAnsi="黑体" w:eastAsia="黑体"/>
          <w:sz w:val="32"/>
          <w:szCs w:val="32"/>
        </w:rPr>
        <w:t>五、</w:t>
      </w:r>
      <w:r>
        <w:rPr>
          <w:rFonts w:ascii="黑体" w:hAnsi="黑体" w:eastAsia="黑体"/>
          <w:sz w:val="32"/>
          <w:szCs w:val="32"/>
        </w:rPr>
        <w:t>投标函</w:t>
      </w:r>
    </w:p>
    <w:p/>
    <w:p>
      <w:pPr>
        <w:rPr>
          <w:b/>
        </w:rPr>
      </w:pPr>
      <w:r>
        <w:rPr>
          <w:rFonts w:hint="eastAsia"/>
        </w:rPr>
        <w:t>致深圳市公明田寮股份合作公司、</w:t>
      </w:r>
      <w:r>
        <w:t>深圳市</w:t>
      </w:r>
      <w:r>
        <w:rPr>
          <w:rFonts w:hint="eastAsia"/>
        </w:rPr>
        <w:t>万皓管理咨询</w:t>
      </w:r>
      <w:r>
        <w:t>有限公司</w:t>
      </w:r>
      <w:r>
        <w:rPr>
          <w:b/>
        </w:rPr>
        <w:t>：</w:t>
      </w:r>
    </w:p>
    <w:p>
      <w:pPr>
        <w:pStyle w:val="9"/>
        <w:tabs>
          <w:tab w:val="left" w:pos="8667"/>
        </w:tabs>
        <w:spacing w:before="129" w:line="357" w:lineRule="auto"/>
        <w:ind w:left="440" w:right="817" w:firstLine="420"/>
      </w:pPr>
      <w:r>
        <w:t>按照招标文</w:t>
      </w:r>
      <w:r>
        <w:rPr>
          <w:spacing w:val="-17"/>
        </w:rPr>
        <w:t>件</w:t>
      </w:r>
      <w:r>
        <w:t>的要求</w:t>
      </w:r>
      <w:r>
        <w:rPr>
          <w:spacing w:val="-15"/>
        </w:rPr>
        <w:t>，</w:t>
      </w:r>
      <w:r>
        <w:t>我方递交的投标文件及有关资料</w:t>
      </w:r>
      <w:r>
        <w:rPr>
          <w:spacing w:val="-15"/>
        </w:rPr>
        <w:t>，</w:t>
      </w:r>
      <w:r>
        <w:t>自愿参加</w:t>
      </w:r>
      <w:r>
        <w:rPr>
          <w:rFonts w:hint="eastAsia" w:ascii="仿宋_GB2312" w:hAnsi="黑体" w:eastAsia="仿宋_GB2312"/>
          <w:sz w:val="22"/>
          <w:szCs w:val="32"/>
          <w:u w:val="single"/>
        </w:rPr>
        <w:t>光明区田寮社区第六工业区第4栋厂房及宿舍物业公开招标项目</w:t>
      </w:r>
      <w:r>
        <w:t>的投标，并作出如下承诺</w:t>
      </w:r>
      <w:r>
        <w:rPr>
          <w:rFonts w:hint="eastAsia"/>
        </w:rPr>
        <w:t>：</w:t>
      </w:r>
    </w:p>
    <w:p>
      <w:pPr>
        <w:pStyle w:val="9"/>
        <w:spacing w:before="129" w:line="357" w:lineRule="auto"/>
        <w:ind w:left="440" w:right="820" w:firstLine="420"/>
        <w:rPr>
          <w:b/>
          <w:lang w:val="en-US"/>
        </w:rPr>
      </w:pPr>
      <w:r>
        <w:rPr>
          <w:b/>
          <w:lang w:val="en-US"/>
        </w:rPr>
        <w:t>1、我方已详细阅读了</w:t>
      </w:r>
      <w:r>
        <w:rPr>
          <w:rFonts w:hint="eastAsia"/>
          <w:b/>
          <w:lang w:val="en-US"/>
        </w:rPr>
        <w:t>本项目的</w:t>
      </w:r>
      <w:r>
        <w:rPr>
          <w:b/>
          <w:lang w:val="en-US"/>
        </w:rPr>
        <w:t>招标文件</w:t>
      </w:r>
      <w:r>
        <w:rPr>
          <w:rFonts w:hint="eastAsia"/>
          <w:b/>
          <w:lang w:val="en-US"/>
        </w:rPr>
        <w:t>全部内容</w:t>
      </w:r>
      <w:r>
        <w:rPr>
          <w:b/>
          <w:lang w:val="en-US"/>
        </w:rPr>
        <w:t>，并明确知悉本项目的基本情况，包括但不限于物业性质、规划要求、使用现状、使用权人、租赁用途的等情况，我方愿意承担由此带来的任何不利后果和法律风险，亦保证我方完全符合本项目的投标条件。</w:t>
      </w:r>
    </w:p>
    <w:p>
      <w:pPr>
        <w:pStyle w:val="9"/>
        <w:spacing w:before="129" w:line="357" w:lineRule="auto"/>
        <w:ind w:left="440" w:right="820" w:firstLine="420"/>
        <w:rPr>
          <w:lang w:val="en-US"/>
        </w:rPr>
      </w:pPr>
      <w:r>
        <w:rPr>
          <w:rFonts w:hint="eastAsia"/>
          <w:lang w:val="en-US"/>
        </w:rPr>
        <w:t>2、我方承诺具备本项目所需的资金实力，确保项目不擅自改变物业使用用途。</w:t>
      </w:r>
    </w:p>
    <w:p>
      <w:pPr>
        <w:pStyle w:val="9"/>
        <w:spacing w:before="129" w:line="357" w:lineRule="auto"/>
        <w:ind w:left="440" w:right="820" w:firstLine="420"/>
        <w:rPr>
          <w:spacing w:val="-8"/>
        </w:rPr>
      </w:pPr>
      <w:r>
        <w:rPr>
          <w:rFonts w:hint="eastAsia"/>
          <w:lang w:val="en-US"/>
        </w:rPr>
        <w:t>3、我方严格按照该项目招标文件要求填写和提交相关内容，保证所提交的投标资料全部真实有效，并愿</w:t>
      </w:r>
      <w:r>
        <w:t>意向贵方及委托方提供任何与本项目有关的数据、情况和技术资料</w:t>
      </w:r>
      <w:r>
        <w:rPr>
          <w:spacing w:val="-8"/>
        </w:rPr>
        <w:t>。</w:t>
      </w:r>
    </w:p>
    <w:p>
      <w:pPr>
        <w:pStyle w:val="9"/>
        <w:spacing w:before="129" w:line="357" w:lineRule="auto"/>
        <w:ind w:left="440" w:right="820" w:firstLine="420"/>
      </w:pPr>
      <w:r>
        <w:rPr>
          <w:rFonts w:hint="eastAsia"/>
          <w:lang w:val="en-US"/>
        </w:rPr>
        <w:t>4、</w:t>
      </w:r>
      <w:r>
        <w:t>保证遵守招标文件的规定，放弃提出对招标文件误解的权利。</w:t>
      </w:r>
    </w:p>
    <w:p>
      <w:pPr>
        <w:pStyle w:val="9"/>
        <w:spacing w:before="129" w:line="357" w:lineRule="auto"/>
        <w:ind w:left="440" w:right="820" w:firstLine="420"/>
        <w:rPr>
          <w:lang w:val="en-US"/>
        </w:rPr>
      </w:pPr>
      <w:r>
        <w:rPr>
          <w:rFonts w:hint="eastAsia"/>
        </w:rPr>
        <w:t>5、我方认可评审委员会组成方式、评审程序、定标方法、质疑投诉程序，承诺不对上述内容提出异议，充分尊重招标人的自主权</w:t>
      </w:r>
      <w:r>
        <w:rPr>
          <w:rFonts w:hint="eastAsia"/>
          <w:lang w:val="en-US"/>
        </w:rPr>
        <w:t>。</w:t>
      </w:r>
    </w:p>
    <w:p>
      <w:pPr>
        <w:pStyle w:val="9"/>
        <w:spacing w:before="129" w:line="357" w:lineRule="auto"/>
        <w:ind w:left="440" w:right="820" w:firstLine="420"/>
      </w:pPr>
      <w:r>
        <w:rPr>
          <w:rFonts w:hint="eastAsia"/>
          <w:lang w:val="en-US"/>
        </w:rPr>
        <w:t>6、我方已认真核实了投标文件的全部资料，所有资料均为真实材料。我方对投标文件中全部投标资料的真实性负责，如被正式我方的投标文件中存在虚假资料的，则视为我方隐瞒真实情况、提供虚假资料，我方愿意接受主管部</w:t>
      </w:r>
      <w:r>
        <w:rPr>
          <w:spacing w:val="-7"/>
        </w:rPr>
        <w:t>门作出的行政处罚。</w:t>
      </w:r>
    </w:p>
    <w:p>
      <w:pPr>
        <w:pStyle w:val="9"/>
        <w:spacing w:before="129" w:line="357" w:lineRule="auto"/>
        <w:ind w:left="440" w:right="820" w:firstLine="420"/>
        <w:rPr>
          <w:b/>
          <w:lang w:val="en-US"/>
        </w:rPr>
      </w:pPr>
      <w:r>
        <w:rPr>
          <w:b/>
          <w:lang w:val="en-US"/>
        </w:rPr>
        <w:t>7、如我方中标后，未按照招标文件要求或投标文件响应情况履行相应义务、或放弃中标资格的，招标人可不退还我方的</w:t>
      </w:r>
      <w:r>
        <w:rPr>
          <w:rFonts w:hint="eastAsia"/>
          <w:b/>
          <w:lang w:val="en-US"/>
        </w:rPr>
        <w:t>投标</w:t>
      </w:r>
      <w:r>
        <w:rPr>
          <w:b/>
          <w:lang w:val="en-US"/>
        </w:rPr>
        <w:t>保证金。</w:t>
      </w:r>
    </w:p>
    <w:p>
      <w:pPr>
        <w:pStyle w:val="9"/>
        <w:spacing w:before="129" w:line="357" w:lineRule="auto"/>
        <w:ind w:left="440" w:right="820" w:firstLine="420"/>
        <w:rPr>
          <w:lang w:val="en-US"/>
        </w:rPr>
      </w:pPr>
      <w:r>
        <w:rPr>
          <w:lang w:val="en-US"/>
        </w:rPr>
        <w:t>8、我方承诺领取《中标通知书》前需向招标代理机构足额缴纳招标代理服务费。</w:t>
      </w:r>
    </w:p>
    <w:p>
      <w:pPr>
        <w:pStyle w:val="9"/>
        <w:spacing w:line="355" w:lineRule="auto"/>
        <w:ind w:left="440" w:right="820" w:firstLine="420"/>
      </w:pPr>
      <w:r>
        <w:t>以上声明若有违反，一经查实，我方愿意接受有关部门的相应处罚，并愿意承担由此带来的法律后果。</w:t>
      </w:r>
    </w:p>
    <w:p>
      <w:pPr>
        <w:pStyle w:val="9"/>
        <w:spacing w:before="129" w:line="357" w:lineRule="auto"/>
        <w:ind w:left="440" w:right="820" w:firstLine="420"/>
        <w:rPr>
          <w:lang w:val="en-US"/>
        </w:rPr>
      </w:pPr>
      <w:r>
        <w:rPr>
          <w:rFonts w:hint="eastAsia"/>
          <w:lang w:val="en-US"/>
        </w:rPr>
        <w:t>与本投标有关的正式通信方式：</w:t>
      </w:r>
    </w:p>
    <w:p>
      <w:pPr>
        <w:pStyle w:val="9"/>
        <w:spacing w:before="129" w:line="357" w:lineRule="auto"/>
        <w:ind w:left="440" w:right="820" w:firstLine="420"/>
        <w:rPr>
          <w:lang w:val="en-US"/>
        </w:rPr>
      </w:pPr>
      <w:r>
        <w:rPr>
          <w:rFonts w:hint="eastAsia"/>
          <w:lang w:val="en-US"/>
        </w:rPr>
        <w:t>地址：</w:t>
      </w:r>
      <w:r>
        <w:rPr>
          <w:lang w:val="en-US"/>
        </w:rPr>
        <w:t xml:space="preserve">                                           邮政编码：         </w:t>
      </w:r>
    </w:p>
    <w:p>
      <w:pPr>
        <w:pStyle w:val="9"/>
        <w:spacing w:before="129" w:line="357" w:lineRule="auto"/>
        <w:ind w:left="440" w:right="820" w:firstLine="420"/>
        <w:rPr>
          <w:lang w:val="en-US"/>
        </w:rPr>
      </w:pPr>
      <w:r>
        <w:rPr>
          <w:rFonts w:hint="eastAsia"/>
          <w:lang w:val="en-US"/>
        </w:rPr>
        <w:t>电话、手机、传真或电传：</w:t>
      </w:r>
      <w:r>
        <w:rPr>
          <w:lang w:val="en-US"/>
        </w:rPr>
        <w:t xml:space="preserve">                                            </w:t>
      </w:r>
    </w:p>
    <w:p>
      <w:pPr>
        <w:pStyle w:val="9"/>
        <w:spacing w:before="129" w:line="357" w:lineRule="auto"/>
        <w:ind w:left="440" w:right="820" w:firstLine="420"/>
        <w:rPr>
          <w:lang w:val="en-US"/>
        </w:rPr>
      </w:pPr>
    </w:p>
    <w:p>
      <w:pPr>
        <w:pStyle w:val="9"/>
        <w:spacing w:before="178"/>
        <w:ind w:left="-9" w:leftChars="-4" w:right="420" w:firstLine="4515" w:firstLineChars="2150"/>
      </w:pPr>
      <w:r>
        <w:t>投标人：（盖章）</w:t>
      </w:r>
    </w:p>
    <w:p>
      <w:pPr>
        <w:pStyle w:val="9"/>
        <w:spacing w:before="178"/>
        <w:ind w:right="420" w:firstLine="4515" w:firstLineChars="2150"/>
      </w:pPr>
      <w:r>
        <w:t>法定代表人或</w:t>
      </w:r>
      <w:r>
        <w:rPr>
          <w:rFonts w:hint="eastAsia"/>
        </w:rPr>
        <w:t>授权代表人</w:t>
      </w:r>
      <w:r>
        <w:t>：（签字）</w:t>
      </w:r>
    </w:p>
    <w:p>
      <w:pPr>
        <w:pStyle w:val="5"/>
        <w:ind w:left="276" w:hanging="276" w:hangingChars="131"/>
        <w:jc w:val="center"/>
      </w:pPr>
      <w:r>
        <w:rPr>
          <w:rFonts w:hint="eastAsia"/>
        </w:rPr>
        <w:t xml:space="preserve">日期：        </w:t>
      </w:r>
      <w:r>
        <w:t xml:space="preserve"> 年</w:t>
      </w:r>
      <w:r>
        <w:rPr>
          <w:rFonts w:hint="eastAsia"/>
        </w:rPr>
        <w:t xml:space="preserve">      </w:t>
      </w:r>
      <w:r>
        <w:t>月</w:t>
      </w:r>
      <w:r>
        <w:rPr>
          <w:rFonts w:hint="eastAsia"/>
        </w:rPr>
        <w:t xml:space="preserve">      </w:t>
      </w:r>
      <w:r>
        <w:t>日</w:t>
      </w:r>
      <w:bookmarkStart w:id="12" w:name="三、法定代表人证明书"/>
      <w:bookmarkEnd w:id="12"/>
      <w:bookmarkStart w:id="13" w:name="五、投标人情况介绍"/>
      <w:bookmarkEnd w:id="13"/>
      <w:bookmarkStart w:id="14" w:name="四、法定代表人授权委托书及被授权人身份证明"/>
      <w:bookmarkEnd w:id="14"/>
      <w:bookmarkStart w:id="15" w:name="二、开标一览表（单独另行封装）"/>
      <w:bookmarkEnd w:id="15"/>
    </w:p>
    <w:p>
      <w:pPr>
        <w:pStyle w:val="5"/>
        <w:ind w:left="276" w:hanging="276" w:hangingChars="131"/>
        <w:jc w:val="center"/>
      </w:pPr>
    </w:p>
    <w:p>
      <w:pPr>
        <w:pStyle w:val="5"/>
        <w:ind w:left="276" w:hanging="276" w:hangingChars="131"/>
        <w:jc w:val="center"/>
      </w:pPr>
    </w:p>
    <w:p>
      <w:pPr>
        <w:pStyle w:val="5"/>
        <w:ind w:left="276" w:hanging="276" w:hangingChars="131"/>
        <w:jc w:val="center"/>
      </w:pPr>
    </w:p>
    <w:p>
      <w:pPr>
        <w:pStyle w:val="5"/>
        <w:ind w:left="419" w:hanging="421" w:hangingChars="131"/>
        <w:jc w:val="center"/>
        <w:rPr>
          <w:rFonts w:ascii="黑体" w:hAnsi="黑体" w:eastAsia="黑体"/>
          <w:sz w:val="32"/>
          <w:szCs w:val="32"/>
        </w:rPr>
      </w:pPr>
      <w:r>
        <w:rPr>
          <w:rFonts w:hint="eastAsia" w:ascii="黑体" w:hAnsi="黑体" w:eastAsia="黑体"/>
          <w:sz w:val="32"/>
          <w:szCs w:val="32"/>
        </w:rPr>
        <w:t>六</w:t>
      </w:r>
      <w:r>
        <w:rPr>
          <w:rFonts w:ascii="黑体" w:hAnsi="黑体" w:eastAsia="黑体"/>
          <w:sz w:val="32"/>
          <w:szCs w:val="32"/>
        </w:rPr>
        <w:t>、投标人情况介绍</w:t>
      </w:r>
    </w:p>
    <w:p>
      <w:pPr>
        <w:pStyle w:val="9"/>
        <w:ind w:right="380"/>
        <w:jc w:val="center"/>
      </w:pPr>
    </w:p>
    <w:p>
      <w:pPr>
        <w:pStyle w:val="5"/>
        <w:rPr>
          <w:rFonts w:ascii="楷体_GB2312" w:hAnsi="黑体" w:eastAsia="楷体_GB2312"/>
          <w:sz w:val="28"/>
          <w:szCs w:val="28"/>
        </w:rPr>
      </w:pPr>
      <w:r>
        <w:rPr>
          <w:rFonts w:hint="eastAsia" w:ascii="楷体_GB2312" w:hAnsi="黑体" w:eastAsia="楷体_GB2312"/>
          <w:sz w:val="28"/>
          <w:szCs w:val="28"/>
        </w:rPr>
        <w:t>（一）投标人情况介绍</w:t>
      </w:r>
    </w:p>
    <w:tbl>
      <w:tblPr>
        <w:tblStyle w:val="13"/>
        <w:tblW w:w="8568" w:type="dxa"/>
        <w:tblInd w:w="3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28"/>
        <w:gridCol w:w="68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0" w:hRule="atLeast"/>
        </w:trPr>
        <w:tc>
          <w:tcPr>
            <w:tcW w:w="1728" w:type="dxa"/>
            <w:vAlign w:val="center"/>
          </w:tcPr>
          <w:p>
            <w:pPr>
              <w:pStyle w:val="9"/>
              <w:ind w:right="380"/>
              <w:jc w:val="center"/>
            </w:pPr>
            <w:r>
              <w:t>投标人名称</w:t>
            </w:r>
          </w:p>
        </w:tc>
        <w:tc>
          <w:tcPr>
            <w:tcW w:w="6840" w:type="dxa"/>
            <w:vAlign w:val="center"/>
          </w:tcPr>
          <w:p>
            <w:pPr>
              <w:pStyle w:val="9"/>
              <w:ind w:right="380"/>
              <w:jc w:val="both"/>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1" w:hRule="atLeast"/>
        </w:trPr>
        <w:tc>
          <w:tcPr>
            <w:tcW w:w="1728" w:type="dxa"/>
            <w:vAlign w:val="center"/>
          </w:tcPr>
          <w:p>
            <w:pPr>
              <w:pStyle w:val="9"/>
              <w:ind w:right="380" w:firstLine="105" w:firstLineChars="50"/>
            </w:pPr>
            <w:r>
              <w:t>注册地址</w:t>
            </w:r>
          </w:p>
        </w:tc>
        <w:tc>
          <w:tcPr>
            <w:tcW w:w="6840" w:type="dxa"/>
            <w:vAlign w:val="center"/>
          </w:tcPr>
          <w:p>
            <w:pPr>
              <w:pStyle w:val="9"/>
              <w:ind w:right="380"/>
              <w:jc w:val="both"/>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0" w:hRule="atLeast"/>
        </w:trPr>
        <w:tc>
          <w:tcPr>
            <w:tcW w:w="1728" w:type="dxa"/>
            <w:vAlign w:val="center"/>
          </w:tcPr>
          <w:p>
            <w:pPr>
              <w:pStyle w:val="9"/>
              <w:ind w:right="380"/>
              <w:jc w:val="center"/>
            </w:pPr>
            <w:r>
              <w:t>法定代表人</w:t>
            </w:r>
          </w:p>
        </w:tc>
        <w:tc>
          <w:tcPr>
            <w:tcW w:w="6840" w:type="dxa"/>
            <w:vAlign w:val="center"/>
          </w:tcPr>
          <w:p>
            <w:pPr>
              <w:pStyle w:val="9"/>
              <w:ind w:right="380"/>
              <w:jc w:val="both"/>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20" w:hRule="atLeast"/>
        </w:trPr>
        <w:tc>
          <w:tcPr>
            <w:tcW w:w="1728" w:type="dxa"/>
            <w:vAlign w:val="center"/>
          </w:tcPr>
          <w:p>
            <w:pPr>
              <w:pStyle w:val="9"/>
              <w:ind w:right="380" w:firstLine="210" w:firstLineChars="100"/>
            </w:pPr>
            <w:r>
              <w:t>经营范围</w:t>
            </w:r>
          </w:p>
        </w:tc>
        <w:tc>
          <w:tcPr>
            <w:tcW w:w="6840" w:type="dxa"/>
            <w:vAlign w:val="center"/>
          </w:tcPr>
          <w:p>
            <w:pPr>
              <w:pStyle w:val="9"/>
              <w:ind w:right="380"/>
              <w:jc w:val="both"/>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5" w:hRule="atLeast"/>
        </w:trPr>
        <w:tc>
          <w:tcPr>
            <w:tcW w:w="1728" w:type="dxa"/>
            <w:vAlign w:val="center"/>
          </w:tcPr>
          <w:p>
            <w:pPr>
              <w:pStyle w:val="9"/>
              <w:ind w:right="380" w:firstLine="210" w:firstLineChars="100"/>
            </w:pPr>
            <w:r>
              <w:t>其他说明</w:t>
            </w:r>
          </w:p>
        </w:tc>
        <w:tc>
          <w:tcPr>
            <w:tcW w:w="6840" w:type="dxa"/>
            <w:vAlign w:val="center"/>
          </w:tcPr>
          <w:p>
            <w:pPr>
              <w:pStyle w:val="9"/>
              <w:ind w:right="380"/>
              <w:jc w:val="both"/>
            </w:pPr>
          </w:p>
        </w:tc>
      </w:tr>
    </w:tbl>
    <w:p>
      <w:pPr>
        <w:pStyle w:val="9"/>
        <w:ind w:right="380"/>
        <w:jc w:val="center"/>
      </w:pPr>
      <w:r>
        <w:t>注：在按要求填写好此表格后，就公司整体情况作出详细的介绍（可以提供相应文字、照片等）。</w:t>
      </w:r>
    </w:p>
    <w:p>
      <w:pPr>
        <w:pStyle w:val="5"/>
        <w:rPr>
          <w:rFonts w:ascii="楷体_GB2312" w:hAnsi="黑体" w:eastAsia="楷体_GB2312"/>
          <w:sz w:val="28"/>
          <w:szCs w:val="28"/>
        </w:rPr>
      </w:pPr>
    </w:p>
    <w:p>
      <w:pPr>
        <w:pStyle w:val="5"/>
        <w:rPr>
          <w:rFonts w:ascii="楷体_GB2312" w:hAnsi="黑体" w:eastAsia="楷体_GB2312"/>
          <w:sz w:val="28"/>
          <w:szCs w:val="28"/>
        </w:rPr>
      </w:pPr>
      <w:r>
        <w:rPr>
          <w:rFonts w:hint="eastAsia" w:ascii="楷体_GB2312" w:hAnsi="黑体" w:eastAsia="楷体_GB2312"/>
          <w:sz w:val="28"/>
          <w:szCs w:val="28"/>
        </w:rPr>
        <w:t>（二）资格证明材料</w:t>
      </w:r>
    </w:p>
    <w:p>
      <w:pPr>
        <w:ind w:firstLine="560" w:firstLineChars="200"/>
        <w:rPr>
          <w:rFonts w:ascii="仿宋_GB2312" w:eastAsia="仿宋_GB2312"/>
          <w:sz w:val="28"/>
          <w:szCs w:val="28"/>
        </w:rPr>
      </w:pPr>
      <w:r>
        <w:rPr>
          <w:rFonts w:hint="eastAsia" w:ascii="仿宋_GB2312" w:eastAsia="仿宋_GB2312"/>
          <w:sz w:val="28"/>
          <w:szCs w:val="28"/>
        </w:rPr>
        <w:t>投标人须按招标文件中“投标人资格要求”（可详见第一册第一章招标公告第二款“投标人资格要求”）提供相关的资质证明，投标文件中未提供或提供不完整、不符合要求的，将按投标无效处理。已响应报名的单位，不代表资格审查通过。</w:t>
      </w:r>
    </w:p>
    <w:p>
      <w:pPr>
        <w:pStyle w:val="5"/>
        <w:spacing w:line="360" w:lineRule="auto"/>
        <w:ind w:left="220" w:leftChars="100" w:firstLine="120" w:firstLineChars="50"/>
        <w:rPr>
          <w:rFonts w:asciiTheme="minorEastAsia" w:hAnsiTheme="minorEastAsia" w:eastAsiaTheme="minorEastAsia"/>
          <w:sz w:val="24"/>
          <w:szCs w:val="24"/>
        </w:rPr>
      </w:pPr>
      <w:r>
        <w:rPr>
          <w:rFonts w:ascii="黑体" w:hAnsi="黑体" w:eastAsia="黑体"/>
          <w:sz w:val="24"/>
          <w:szCs w:val="24"/>
          <w:lang w:val="en-US" w:bidi="ar-SA"/>
        </w:rPr>
        <w:pict>
          <v:shape id="AutoShape 4" o:spid="_x0000_s1027" o:spt="100" style="position:absolute;left:0pt;margin-left:647.5pt;margin-top:925.35pt;height:22pt;width:94.5pt;mso-position-horizontal-relative:page;mso-position-vertical-relative:page;z-index:-25165516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" adj=",,">
            <v:fill on="f" focussize="0,0"/>
            <v:stroke on="f"/>
            <v:imagedata o:title=""/>
            <o:lock v:ext="edit"/>
          </v:shape>
        </w:pict>
      </w:r>
      <w:bookmarkStart w:id="16" w:name="（二）_工商信息查询单"/>
      <w:bookmarkEnd w:id="16"/>
      <w:bookmarkStart w:id="17" w:name="六、项目资格条件证明材料"/>
      <w:bookmarkEnd w:id="17"/>
      <w:r>
        <w:rPr>
          <w:rFonts w:hint="eastAsia"/>
          <w:sz w:val="24"/>
          <w:szCs w:val="24"/>
        </w:rPr>
        <w:t>1、</w:t>
      </w:r>
      <w:r>
        <w:rPr>
          <w:rFonts w:hint="eastAsia" w:asciiTheme="minorEastAsia" w:hAnsiTheme="minorEastAsia" w:eastAsiaTheme="minorEastAsia"/>
          <w:sz w:val="24"/>
          <w:szCs w:val="24"/>
        </w:rPr>
        <w:t>投标人必须具有独立法人资格，具有独立承担民事责任能力，且企业营业执照未被吊销或注销。</w:t>
      </w:r>
    </w:p>
    <w:p>
      <w:pPr>
        <w:pStyle w:val="5"/>
        <w:spacing w:line="360" w:lineRule="auto"/>
        <w:ind w:left="220" w:leftChars="100" w:firstLine="120" w:firstLineChars="50"/>
        <w:rPr>
          <w:b w:val="0"/>
          <w:sz w:val="24"/>
          <w:szCs w:val="24"/>
        </w:rPr>
      </w:pPr>
      <w:r>
        <w:rPr>
          <w:rFonts w:hint="eastAsia" w:asciiTheme="minorEastAsia" w:hAnsiTheme="minorEastAsia" w:eastAsiaTheme="minorEastAsia"/>
          <w:b w:val="0"/>
          <w:sz w:val="24"/>
          <w:szCs w:val="24"/>
        </w:rPr>
        <w:t>证明文件：（提供营业执照原件扫描件）</w:t>
      </w:r>
    </w:p>
    <w:p>
      <w:pPr>
        <w:pStyle w:val="5"/>
        <w:spacing w:line="360" w:lineRule="auto"/>
        <w:ind w:left="220" w:leftChars="100" w:firstLine="120" w:firstLineChars="50"/>
        <w:rPr>
          <w:sz w:val="24"/>
          <w:szCs w:val="24"/>
        </w:rPr>
      </w:pPr>
      <w:bookmarkStart w:id="18" w:name="（三）产业规范承诺函"/>
      <w:bookmarkEnd w:id="18"/>
      <w:r>
        <w:rPr>
          <w:rFonts w:hint="eastAsia"/>
          <w:sz w:val="24"/>
          <w:szCs w:val="24"/>
        </w:rPr>
        <w:t>2、投标截止时间前，投标人未被列入失信被执行人、重大税收违法案件当事人名单；</w:t>
      </w:r>
    </w:p>
    <w:p>
      <w:pPr>
        <w:pStyle w:val="9"/>
        <w:spacing w:line="360" w:lineRule="auto"/>
        <w:ind w:firstLine="480" w:firstLineChars="200"/>
        <w:rPr>
          <w:sz w:val="24"/>
          <w:szCs w:val="24"/>
        </w:rPr>
      </w:pPr>
      <w:r>
        <w:rPr>
          <w:rFonts w:hint="eastAsia"/>
          <w:color w:val="1B1B1B"/>
          <w:sz w:val="24"/>
          <w:szCs w:val="24"/>
        </w:rPr>
        <w:t>证明文件：投标人无需提供，由招标代理机构将通过“信用中国”网站（www.creditchina.gov.cn）渠道查询相关主体信用记录。</w:t>
      </w:r>
    </w:p>
    <w:p>
      <w:pPr>
        <w:pStyle w:val="5"/>
        <w:spacing w:line="360" w:lineRule="auto"/>
        <w:ind w:left="220" w:leftChars="100" w:firstLine="120" w:firstLineChars="50"/>
        <w:rPr>
          <w:bCs w:val="0"/>
          <w:sz w:val="24"/>
          <w:szCs w:val="24"/>
        </w:rPr>
      </w:pPr>
      <w:r>
        <w:rPr>
          <w:rFonts w:hint="eastAsia"/>
          <w:sz w:val="24"/>
          <w:szCs w:val="24"/>
        </w:rPr>
        <w:t>3、</w:t>
      </w:r>
      <w:r>
        <w:rPr>
          <w:rFonts w:hint="eastAsia"/>
          <w:bCs w:val="0"/>
          <w:sz w:val="24"/>
          <w:szCs w:val="24"/>
        </w:rPr>
        <w:t>投标人须通过光明区工业和信息化、生态环境、应急管理部门的拟入驻企业评估</w:t>
      </w:r>
    </w:p>
    <w:p>
      <w:pPr>
        <w:pStyle w:val="9"/>
        <w:spacing w:line="360" w:lineRule="auto"/>
        <w:ind w:firstLine="480" w:firstLineChars="200"/>
        <w:rPr>
          <w:color w:val="000000"/>
          <w:sz w:val="24"/>
          <w:szCs w:val="24"/>
        </w:rPr>
      </w:pPr>
      <w:r>
        <w:rPr>
          <w:rFonts w:hint="eastAsia"/>
          <w:color w:val="000000"/>
          <w:sz w:val="24"/>
          <w:szCs w:val="24"/>
        </w:rPr>
        <w:t>证明文件：由招标人通过光明区产业空间信息服务平台查询评估结果</w:t>
      </w:r>
    </w:p>
    <w:p>
      <w:pPr>
        <w:pStyle w:val="5"/>
        <w:spacing w:line="360" w:lineRule="auto"/>
        <w:ind w:left="220" w:leftChars="100" w:firstLine="120" w:firstLineChars="50"/>
        <w:rPr>
          <w:sz w:val="24"/>
          <w:szCs w:val="24"/>
        </w:rPr>
      </w:pPr>
      <w:r>
        <w:rPr>
          <w:rFonts w:hint="eastAsia"/>
          <w:bCs w:val="0"/>
          <w:sz w:val="24"/>
          <w:szCs w:val="24"/>
        </w:rPr>
        <w:t>4、</w:t>
      </w:r>
      <w:r>
        <w:rPr>
          <w:rFonts w:hint="eastAsia"/>
          <w:sz w:val="24"/>
          <w:szCs w:val="24"/>
        </w:rPr>
        <w:t>企业信用信用不存在污点，不得有不良信用记录或被纳入失信被执行人名单；</w:t>
      </w:r>
    </w:p>
    <w:p>
      <w:pPr>
        <w:pStyle w:val="9"/>
        <w:spacing w:line="360" w:lineRule="auto"/>
        <w:ind w:firstLine="480" w:firstLineChars="200"/>
        <w:rPr>
          <w:sz w:val="24"/>
          <w:szCs w:val="24"/>
        </w:rPr>
      </w:pPr>
      <w:r>
        <w:rPr>
          <w:rFonts w:hint="eastAsia"/>
          <w:color w:val="000000"/>
          <w:sz w:val="24"/>
          <w:szCs w:val="24"/>
        </w:rPr>
        <w:t>证明文件：提供</w:t>
      </w:r>
      <w:r>
        <w:rPr>
          <w:rFonts w:hint="eastAsia"/>
          <w:bCs/>
          <w:sz w:val="24"/>
          <w:szCs w:val="24"/>
          <w:lang w:val="en-US"/>
        </w:rPr>
        <w:t>深圳信用网</w:t>
      </w:r>
      <w:r>
        <w:rPr>
          <w:bCs/>
          <w:sz w:val="24"/>
          <w:szCs w:val="24"/>
          <w:lang w:val="en-US"/>
        </w:rPr>
        <w:t>https://www.szcredit.com.cn</w:t>
      </w:r>
      <w:r>
        <w:rPr>
          <w:rFonts w:hint="eastAsia"/>
          <w:color w:val="000000"/>
          <w:sz w:val="24"/>
          <w:szCs w:val="24"/>
        </w:rPr>
        <w:t>（备案信息查询报告打印）加盖投标人公章，不提供或提供的证明文件不清晰的证明文件无效</w:t>
      </w:r>
    </w:p>
    <w:p>
      <w:pPr>
        <w:pStyle w:val="9"/>
        <w:ind w:firstLine="480" w:firstLineChars="200"/>
        <w:rPr>
          <w:sz w:val="24"/>
          <w:szCs w:val="24"/>
        </w:rPr>
      </w:pPr>
    </w:p>
    <w:p>
      <w:pPr>
        <w:pStyle w:val="5"/>
        <w:spacing w:line="360" w:lineRule="auto"/>
        <w:ind w:left="220" w:leftChars="100" w:firstLine="120" w:firstLineChars="50"/>
        <w:rPr>
          <w:sz w:val="24"/>
          <w:szCs w:val="24"/>
        </w:rPr>
      </w:pPr>
      <w:bookmarkStart w:id="19" w:name="（四）不得转租、分租承诺书"/>
      <w:bookmarkEnd w:id="19"/>
    </w:p>
    <w:p>
      <w:pPr>
        <w:pStyle w:val="5"/>
        <w:spacing w:line="360" w:lineRule="auto"/>
        <w:ind w:left="220" w:leftChars="100" w:firstLine="120" w:firstLineChars="50"/>
        <w:rPr>
          <w:sz w:val="24"/>
          <w:szCs w:val="24"/>
        </w:rPr>
      </w:pPr>
    </w:p>
    <w:p>
      <w:pPr>
        <w:pStyle w:val="5"/>
        <w:spacing w:line="360" w:lineRule="auto"/>
        <w:ind w:left="220" w:leftChars="100" w:firstLine="120" w:firstLineChars="50"/>
        <w:rPr>
          <w:sz w:val="24"/>
          <w:szCs w:val="24"/>
        </w:rPr>
      </w:pPr>
      <w:r>
        <w:rPr>
          <w:rFonts w:hint="eastAsia"/>
          <w:sz w:val="24"/>
          <w:szCs w:val="24"/>
        </w:rPr>
        <w:t>5、产业规范</w:t>
      </w:r>
      <w:r>
        <w:rPr>
          <w:sz w:val="24"/>
          <w:szCs w:val="24"/>
        </w:rPr>
        <w:t>承诺函</w:t>
      </w:r>
    </w:p>
    <w:p>
      <w:pPr>
        <w:pStyle w:val="9"/>
        <w:ind w:right="380"/>
      </w:pPr>
    </w:p>
    <w:p>
      <w:pPr>
        <w:pStyle w:val="9"/>
        <w:spacing w:line="360" w:lineRule="auto"/>
        <w:ind w:right="380"/>
        <w:jc w:val="center"/>
        <w:rPr>
          <w:rFonts w:ascii="方正小标宋简体" w:eastAsia="方正小标宋简体"/>
          <w:b/>
          <w:sz w:val="44"/>
          <w:szCs w:val="44"/>
        </w:rPr>
      </w:pPr>
      <w:r>
        <w:rPr>
          <w:rFonts w:hint="eastAsia" w:ascii="方正小标宋简体" w:eastAsia="方正小标宋简体"/>
          <w:b/>
          <w:sz w:val="44"/>
          <w:szCs w:val="44"/>
        </w:rPr>
        <w:t>产业规范承诺函</w:t>
      </w:r>
    </w:p>
    <w:p>
      <w:pPr>
        <w:pStyle w:val="9"/>
        <w:spacing w:line="360" w:lineRule="auto"/>
        <w:ind w:right="380"/>
        <w:rPr>
          <w:rFonts w:asciiTheme="minorEastAsia" w:hAnsiTheme="minorEastAsia" w:eastAsiaTheme="minorEastAsia"/>
          <w:sz w:val="32"/>
          <w:szCs w:val="32"/>
        </w:rPr>
      </w:pPr>
    </w:p>
    <w:p>
      <w:pPr>
        <w:pStyle w:val="9"/>
        <w:spacing w:line="360" w:lineRule="auto"/>
        <w:ind w:right="380"/>
        <w:rPr>
          <w:rFonts w:asciiTheme="minorEastAsia" w:hAnsiTheme="minorEastAsia" w:eastAsiaTheme="minorEastAsia"/>
          <w:sz w:val="32"/>
          <w:szCs w:val="32"/>
        </w:rPr>
      </w:pPr>
      <w:r>
        <w:rPr>
          <w:rFonts w:hint="eastAsia" w:asciiTheme="minorEastAsia" w:hAnsiTheme="minorEastAsia" w:eastAsiaTheme="minorEastAsia"/>
          <w:sz w:val="32"/>
          <w:szCs w:val="32"/>
        </w:rPr>
        <w:t>深圳市公明田寮股份合作公司</w:t>
      </w:r>
      <w:r>
        <w:rPr>
          <w:rFonts w:asciiTheme="minorEastAsia" w:hAnsiTheme="minorEastAsia" w:eastAsiaTheme="minorEastAsia"/>
          <w:sz w:val="32"/>
          <w:szCs w:val="32"/>
        </w:rPr>
        <w:t>：</w:t>
      </w:r>
    </w:p>
    <w:p>
      <w:pPr>
        <w:widowControl/>
        <w:tabs>
          <w:tab w:val="left" w:pos="8360"/>
        </w:tabs>
        <w:ind w:right="458" w:rightChars="208"/>
        <w:rPr>
          <w:rFonts w:asciiTheme="minorEastAsia" w:hAnsiTheme="minorEastAsia" w:eastAsiaTheme="minorEastAsia"/>
          <w:sz w:val="21"/>
          <w:szCs w:val="21"/>
        </w:rPr>
      </w:pPr>
      <w:r>
        <w:rPr>
          <w:rFonts w:asciiTheme="minorEastAsia" w:hAnsiTheme="minorEastAsia" w:eastAsiaTheme="minorEastAsia"/>
          <w:sz w:val="32"/>
          <w:szCs w:val="32"/>
        </w:rPr>
        <w:t xml:space="preserve">我方（ </w:t>
      </w:r>
      <w:r>
        <w:rPr>
          <w:rFonts w:asciiTheme="minorEastAsia" w:hAnsiTheme="minorEastAsia" w:eastAsiaTheme="minorEastAsia"/>
          <w:sz w:val="32"/>
          <w:szCs w:val="32"/>
        </w:rPr>
        <w:tab/>
      </w:r>
      <w:r>
        <w:rPr>
          <w:rFonts w:asciiTheme="minorEastAsia" w:hAnsiTheme="minorEastAsia" w:eastAsiaTheme="minorEastAsia"/>
          <w:sz w:val="32"/>
          <w:szCs w:val="32"/>
        </w:rPr>
        <w:t>）若成为</w:t>
      </w:r>
      <w:r>
        <w:rPr>
          <w:rFonts w:hint="eastAsia" w:asciiTheme="minorEastAsia" w:hAnsiTheme="minorEastAsia" w:eastAsiaTheme="minorEastAsia"/>
          <w:sz w:val="32"/>
          <w:szCs w:val="32"/>
        </w:rPr>
        <w:t>光明区田寮社区第六工业区第4栋厂房及宿舍物业公开招标项目</w:t>
      </w:r>
      <w:r>
        <w:rPr>
          <w:rFonts w:asciiTheme="minorEastAsia" w:hAnsiTheme="minorEastAsia" w:eastAsiaTheme="minorEastAsia"/>
          <w:sz w:val="32"/>
          <w:szCs w:val="32"/>
        </w:rPr>
        <w:t>（</w:t>
      </w:r>
      <w:r>
        <w:rPr>
          <w:rFonts w:hint="eastAsia" w:asciiTheme="minorEastAsia" w:hAnsiTheme="minorEastAsia" w:eastAsiaTheme="minorEastAsia"/>
          <w:sz w:val="32"/>
          <w:szCs w:val="32"/>
        </w:rPr>
        <w:t>项目编号：</w:t>
      </w:r>
      <w:r>
        <w:rPr>
          <w:rFonts w:asciiTheme="minorEastAsia" w:hAnsiTheme="minorEastAsia" w:eastAsiaTheme="minorEastAsia"/>
          <w:sz w:val="28"/>
          <w:szCs w:val="28"/>
        </w:rPr>
        <w:t xml:space="preserve">GMSZ2020036350 </w:t>
      </w:r>
      <w:r>
        <w:rPr>
          <w:rFonts w:hint="eastAsia" w:asciiTheme="minorEastAsia" w:hAnsiTheme="minorEastAsia" w:eastAsiaTheme="minorEastAsia"/>
          <w:sz w:val="32"/>
          <w:szCs w:val="32"/>
        </w:rPr>
        <w:t>）的承租方（中标人），我司承诺严格遵守《深圳市产业结构调整优化和产业导向目录（</w:t>
      </w:r>
      <w:r>
        <w:rPr>
          <w:rFonts w:asciiTheme="minorEastAsia" w:hAnsiTheme="minorEastAsia" w:eastAsiaTheme="minorEastAsia"/>
          <w:sz w:val="32"/>
          <w:szCs w:val="32"/>
        </w:rPr>
        <w:t>2016 年修订）》、《光明新区社区股份公司物业产业准入负面清单》及《光明区产业准入清单暨“散乱污危”企业（场所）认定标准》等有关规定</w:t>
      </w:r>
      <w:r>
        <w:rPr>
          <w:rFonts w:hint="eastAsia" w:asciiTheme="minorEastAsia" w:hAnsiTheme="minorEastAsia" w:eastAsiaTheme="minorEastAsia"/>
          <w:sz w:val="32"/>
          <w:szCs w:val="32"/>
        </w:rPr>
        <w:t>。</w:t>
      </w:r>
    </w:p>
    <w:p>
      <w:pPr>
        <w:pStyle w:val="9"/>
        <w:spacing w:line="360" w:lineRule="auto"/>
        <w:ind w:right="38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以上声明若有违反，一经查实，我方愿意接受有关部门的相应处罚，并愿意承担由此带来的法律后果。</w:t>
      </w:r>
    </w:p>
    <w:p>
      <w:pPr>
        <w:pStyle w:val="9"/>
        <w:wordWrap w:val="0"/>
        <w:spacing w:line="360" w:lineRule="auto"/>
        <w:ind w:right="710"/>
        <w:jc w:val="right"/>
        <w:rPr>
          <w:rFonts w:asciiTheme="minorEastAsia" w:hAnsiTheme="minorEastAsia" w:eastAsiaTheme="minorEastAsia"/>
          <w:sz w:val="32"/>
          <w:szCs w:val="32"/>
        </w:rPr>
      </w:pPr>
    </w:p>
    <w:p>
      <w:pPr>
        <w:pStyle w:val="9"/>
        <w:wordWrap w:val="0"/>
        <w:spacing w:line="360" w:lineRule="auto"/>
        <w:ind w:right="710"/>
        <w:jc w:val="right"/>
        <w:rPr>
          <w:rFonts w:asciiTheme="minorEastAsia" w:hAnsiTheme="minorEastAsia" w:eastAsiaTheme="minorEastAsia"/>
          <w:sz w:val="32"/>
          <w:szCs w:val="32"/>
        </w:rPr>
      </w:pPr>
      <w:r>
        <w:rPr>
          <w:rFonts w:asciiTheme="minorEastAsia" w:hAnsiTheme="minorEastAsia" w:eastAsiaTheme="minorEastAsia"/>
          <w:sz w:val="32"/>
          <w:szCs w:val="32"/>
        </w:rPr>
        <w:t>承诺人（盖章）：</w:t>
      </w:r>
      <w:r>
        <w:rPr>
          <w:rFonts w:hint="eastAsia" w:asciiTheme="minorEastAsia" w:hAnsiTheme="minorEastAsia" w:eastAsiaTheme="minorEastAsia"/>
          <w:sz w:val="32"/>
          <w:szCs w:val="32"/>
        </w:rPr>
        <w:t xml:space="preserve">            </w:t>
      </w:r>
    </w:p>
    <w:p>
      <w:pPr>
        <w:pStyle w:val="9"/>
        <w:wordWrap w:val="0"/>
        <w:spacing w:line="360" w:lineRule="auto"/>
        <w:ind w:right="600"/>
        <w:jc w:val="right"/>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法定代表人或授权代表人：（签字）     </w:t>
      </w:r>
    </w:p>
    <w:p>
      <w:pPr>
        <w:pStyle w:val="9"/>
        <w:spacing w:line="360" w:lineRule="auto"/>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日期：   </w:t>
      </w:r>
      <w:r>
        <w:rPr>
          <w:rFonts w:asciiTheme="minorEastAsia" w:hAnsiTheme="minorEastAsia" w:eastAsiaTheme="minorEastAsia"/>
          <w:sz w:val="32"/>
          <w:szCs w:val="32"/>
        </w:rPr>
        <w:t xml:space="preserve"> 年</w:t>
      </w:r>
      <w:r>
        <w:rPr>
          <w:rFonts w:hint="eastAsia" w:asciiTheme="minorEastAsia" w:hAnsiTheme="minorEastAsia" w:eastAsiaTheme="minorEastAsia"/>
          <w:sz w:val="32"/>
          <w:szCs w:val="32"/>
        </w:rPr>
        <w:t xml:space="preserve">   月   </w:t>
      </w:r>
      <w:r>
        <w:rPr>
          <w:rFonts w:asciiTheme="minorEastAsia" w:hAnsiTheme="minorEastAsia" w:eastAsiaTheme="minorEastAsia"/>
          <w:sz w:val="32"/>
          <w:szCs w:val="32"/>
        </w:rPr>
        <w:t>日</w:t>
      </w:r>
      <w:r>
        <w:rPr>
          <w:rFonts w:hint="eastAsia" w:asciiTheme="minorEastAsia" w:hAnsiTheme="minorEastAsia" w:eastAsiaTheme="minorEastAsia"/>
          <w:sz w:val="32"/>
          <w:szCs w:val="32"/>
        </w:rPr>
        <w:t xml:space="preserve">    </w:t>
      </w:r>
    </w:p>
    <w:p>
      <w:pPr>
        <w:pStyle w:val="5"/>
        <w:spacing w:line="360" w:lineRule="auto"/>
        <w:ind w:left="220" w:leftChars="100" w:firstLine="110" w:firstLineChars="50"/>
        <w:rPr>
          <w:sz w:val="22"/>
          <w:szCs w:val="22"/>
        </w:rPr>
      </w:pPr>
      <w:r>
        <w:rPr>
          <w:rFonts w:hint="eastAsia"/>
          <w:sz w:val="22"/>
          <w:szCs w:val="22"/>
        </w:rPr>
        <w:t xml:space="preserve"> </w:t>
      </w:r>
    </w:p>
    <w:p>
      <w:pPr>
        <w:pStyle w:val="5"/>
        <w:spacing w:line="360" w:lineRule="auto"/>
        <w:ind w:left="220" w:leftChars="100" w:firstLine="110" w:firstLineChars="50"/>
        <w:rPr>
          <w:sz w:val="22"/>
          <w:szCs w:val="22"/>
        </w:rPr>
      </w:pPr>
    </w:p>
    <w:p>
      <w:pPr>
        <w:pStyle w:val="5"/>
        <w:spacing w:line="360" w:lineRule="auto"/>
        <w:ind w:left="220" w:leftChars="100" w:firstLine="110" w:firstLineChars="50"/>
        <w:rPr>
          <w:sz w:val="22"/>
          <w:szCs w:val="22"/>
        </w:rPr>
      </w:pPr>
    </w:p>
    <w:p>
      <w:pPr>
        <w:pStyle w:val="5"/>
        <w:spacing w:line="360" w:lineRule="auto"/>
        <w:ind w:left="220" w:leftChars="100" w:firstLine="110" w:firstLineChars="50"/>
        <w:rPr>
          <w:sz w:val="22"/>
          <w:szCs w:val="22"/>
        </w:rPr>
      </w:pPr>
    </w:p>
    <w:p>
      <w:pPr>
        <w:pStyle w:val="5"/>
        <w:spacing w:line="360" w:lineRule="auto"/>
        <w:ind w:left="220" w:leftChars="100" w:firstLine="110" w:firstLineChars="50"/>
        <w:rPr>
          <w:sz w:val="22"/>
          <w:szCs w:val="22"/>
        </w:rPr>
      </w:pPr>
    </w:p>
    <w:p>
      <w:pPr>
        <w:pStyle w:val="5"/>
        <w:spacing w:line="360" w:lineRule="auto"/>
        <w:ind w:left="220" w:leftChars="100" w:firstLine="110" w:firstLineChars="50"/>
        <w:rPr>
          <w:sz w:val="22"/>
          <w:szCs w:val="22"/>
        </w:rPr>
      </w:pPr>
    </w:p>
    <w:p>
      <w:pPr>
        <w:pStyle w:val="5"/>
        <w:spacing w:line="360" w:lineRule="auto"/>
        <w:ind w:left="220" w:leftChars="100" w:firstLine="110" w:firstLineChars="50"/>
        <w:rPr>
          <w:sz w:val="22"/>
          <w:szCs w:val="22"/>
        </w:rPr>
      </w:pPr>
    </w:p>
    <w:p>
      <w:pPr>
        <w:pStyle w:val="5"/>
        <w:spacing w:line="360" w:lineRule="auto"/>
        <w:ind w:left="220" w:leftChars="100" w:firstLine="110" w:firstLineChars="50"/>
        <w:rPr>
          <w:sz w:val="22"/>
          <w:szCs w:val="22"/>
        </w:rPr>
      </w:pPr>
    </w:p>
    <w:p>
      <w:pPr>
        <w:pStyle w:val="5"/>
        <w:spacing w:line="360" w:lineRule="auto"/>
        <w:ind w:left="220" w:leftChars="100" w:firstLine="110" w:firstLineChars="50"/>
        <w:rPr>
          <w:sz w:val="22"/>
          <w:szCs w:val="22"/>
        </w:rPr>
      </w:pPr>
    </w:p>
    <w:p/>
    <w:p/>
    <w:p/>
    <w:p/>
    <w:p>
      <w:pPr>
        <w:pStyle w:val="5"/>
        <w:spacing w:line="360" w:lineRule="auto"/>
        <w:ind w:left="220" w:leftChars="100" w:firstLine="110" w:firstLineChars="50"/>
        <w:rPr>
          <w:sz w:val="24"/>
          <w:szCs w:val="24"/>
        </w:rPr>
      </w:pPr>
      <w:r>
        <w:rPr>
          <w:rFonts w:hint="eastAsia"/>
          <w:sz w:val="22"/>
          <w:szCs w:val="22"/>
        </w:rPr>
        <w:t xml:space="preserve"> </w:t>
      </w:r>
      <w:bookmarkStart w:id="20" w:name="七、营业收入"/>
      <w:bookmarkEnd w:id="20"/>
      <w:r>
        <w:rPr>
          <w:rFonts w:hint="eastAsia"/>
          <w:sz w:val="24"/>
          <w:szCs w:val="24"/>
        </w:rPr>
        <w:t>6、声明函</w:t>
      </w:r>
    </w:p>
    <w:p>
      <w:pPr>
        <w:adjustRightInd w:val="0"/>
        <w:snapToGrid w:val="0"/>
        <w:spacing w:line="520" w:lineRule="atLeast"/>
        <w:jc w:val="center"/>
        <w:rPr>
          <w:rFonts w:ascii="方正小标宋简体" w:eastAsia="方正小标宋简体"/>
          <w:sz w:val="44"/>
          <w:szCs w:val="44"/>
          <w:u w:val="single"/>
        </w:rPr>
      </w:pPr>
      <w:r>
        <w:rPr>
          <w:rFonts w:hint="eastAsia" w:ascii="方正小标宋简体" w:eastAsia="方正小标宋简体"/>
          <w:sz w:val="44"/>
          <w:szCs w:val="44"/>
        </w:rPr>
        <w:t>声明函</w:t>
      </w:r>
    </w:p>
    <w:p>
      <w:pPr>
        <w:adjustRightInd w:val="0"/>
        <w:snapToGrid w:val="0"/>
        <w:spacing w:line="520" w:lineRule="atLeast"/>
        <w:jc w:val="both"/>
        <w:rPr>
          <w:sz w:val="28"/>
          <w:szCs w:val="28"/>
        </w:rPr>
      </w:pPr>
      <w:r>
        <w:rPr>
          <w:rFonts w:hint="eastAsia"/>
          <w:sz w:val="28"/>
          <w:szCs w:val="28"/>
        </w:rPr>
        <w:t xml:space="preserve">    </w:t>
      </w:r>
    </w:p>
    <w:p>
      <w:pPr>
        <w:widowControl/>
        <w:tabs>
          <w:tab w:val="left" w:pos="8360"/>
        </w:tabs>
        <w:ind w:right="458" w:rightChars="208"/>
        <w:jc w:val="both"/>
        <w:rPr>
          <w:rFonts w:asciiTheme="minorEastAsia" w:hAnsiTheme="minorEastAsia" w:eastAsiaTheme="minorEastAsia"/>
          <w:sz w:val="21"/>
          <w:szCs w:val="21"/>
        </w:rPr>
      </w:pPr>
      <w:r>
        <w:rPr>
          <w:rFonts w:hint="eastAsia"/>
          <w:sz w:val="32"/>
          <w:szCs w:val="32"/>
        </w:rPr>
        <w:t>本单位就</w:t>
      </w:r>
      <w:r>
        <w:rPr>
          <w:rFonts w:hint="eastAsia" w:asciiTheme="minorEastAsia" w:hAnsiTheme="minorEastAsia" w:eastAsiaTheme="minorEastAsia"/>
          <w:sz w:val="32"/>
          <w:szCs w:val="32"/>
        </w:rPr>
        <w:t>光明区田寮社区第六工业区第4栋厂房及宿舍物业公开招标项目</w:t>
      </w:r>
      <w:r>
        <w:rPr>
          <w:rFonts w:hint="eastAsia"/>
          <w:sz w:val="32"/>
          <w:szCs w:val="32"/>
        </w:rPr>
        <w:t>（项目编号：）的投标事宜郑重声明：</w:t>
      </w:r>
    </w:p>
    <w:p>
      <w:pPr>
        <w:widowControl/>
        <w:spacing w:line="516" w:lineRule="atLeast"/>
        <w:ind w:firstLine="640" w:firstLineChars="200"/>
        <w:jc w:val="both"/>
        <w:rPr>
          <w:sz w:val="32"/>
          <w:szCs w:val="32"/>
        </w:rPr>
      </w:pPr>
      <w:r>
        <w:rPr>
          <w:rFonts w:hint="eastAsia"/>
          <w:sz w:val="32"/>
          <w:szCs w:val="32"/>
        </w:rPr>
        <w:t>1、我公司与参与本项目投标的其他投标人，相互间没有直接控股关系或法定代表人为同一人的两个或两个以上的法人的情况；</w:t>
      </w:r>
    </w:p>
    <w:p>
      <w:pPr>
        <w:widowControl/>
        <w:spacing w:line="516" w:lineRule="atLeast"/>
        <w:ind w:firstLine="640" w:firstLineChars="200"/>
        <w:jc w:val="both"/>
        <w:rPr>
          <w:sz w:val="32"/>
          <w:szCs w:val="32"/>
        </w:rPr>
      </w:pPr>
      <w:r>
        <w:rPr>
          <w:rFonts w:hint="eastAsia"/>
          <w:sz w:val="32"/>
          <w:szCs w:val="32"/>
        </w:rPr>
        <w:t>2、我公司不属于本项目招标人董事会、监事会、集体资产管理委员会成员及其直系亲属控股或参与经营的企业；</w:t>
      </w:r>
    </w:p>
    <w:p>
      <w:pPr>
        <w:widowControl/>
        <w:spacing w:line="516" w:lineRule="atLeast"/>
        <w:ind w:firstLine="640" w:firstLineChars="200"/>
        <w:jc w:val="both"/>
        <w:rPr>
          <w:sz w:val="32"/>
          <w:szCs w:val="32"/>
        </w:rPr>
      </w:pPr>
      <w:r>
        <w:rPr>
          <w:rFonts w:hint="eastAsia"/>
          <w:sz w:val="32"/>
          <w:szCs w:val="32"/>
        </w:rPr>
        <w:t>3、我公司若成为本项目中标人，未经批准，保证不会将本项目物业转租、分租给第三方，</w:t>
      </w:r>
      <w:r>
        <w:rPr>
          <w:color w:val="000000" w:themeColor="text1"/>
          <w:sz w:val="32"/>
          <w:szCs w:val="32"/>
        </w:rPr>
        <w:t>如有违反，我公司愿承担相应的违约责任（如不予退还</w:t>
      </w:r>
      <w:r>
        <w:rPr>
          <w:rFonts w:hint="eastAsia"/>
          <w:color w:val="000000" w:themeColor="text1"/>
          <w:sz w:val="32"/>
          <w:szCs w:val="32"/>
        </w:rPr>
        <w:t>租赁保证金</w:t>
      </w:r>
      <w:r>
        <w:rPr>
          <w:color w:val="000000" w:themeColor="text1"/>
          <w:sz w:val="32"/>
          <w:szCs w:val="32"/>
        </w:rPr>
        <w:t>），且</w:t>
      </w:r>
      <w:r>
        <w:rPr>
          <w:rFonts w:hint="eastAsia"/>
          <w:color w:val="000000" w:themeColor="text1"/>
          <w:sz w:val="32"/>
          <w:szCs w:val="32"/>
        </w:rPr>
        <w:t>本项目招标人</w:t>
      </w:r>
      <w:r>
        <w:rPr>
          <w:color w:val="000000" w:themeColor="text1"/>
          <w:sz w:val="32"/>
          <w:szCs w:val="32"/>
        </w:rPr>
        <w:t>无须对我公司赔偿</w:t>
      </w:r>
      <w:r>
        <w:rPr>
          <w:rFonts w:hint="eastAsia"/>
          <w:sz w:val="32"/>
          <w:szCs w:val="32"/>
        </w:rPr>
        <w:t>；</w:t>
      </w:r>
    </w:p>
    <w:p>
      <w:pPr>
        <w:widowControl/>
        <w:spacing w:line="516" w:lineRule="atLeast"/>
        <w:ind w:firstLine="640" w:firstLineChars="200"/>
        <w:jc w:val="both"/>
        <w:rPr>
          <w:sz w:val="32"/>
          <w:szCs w:val="32"/>
        </w:rPr>
      </w:pPr>
      <w:r>
        <w:rPr>
          <w:rFonts w:hint="eastAsia"/>
          <w:color w:val="000000" w:themeColor="text1"/>
          <w:sz w:val="32"/>
          <w:szCs w:val="32"/>
        </w:rPr>
        <w:t>本公司对上述声明的真实性负责。如有虚假，愿依法承担相应责任，并自愿承担投标无效的后果以及赔偿由此给招标人带来的一切经济损失。</w:t>
      </w:r>
    </w:p>
    <w:p>
      <w:pPr>
        <w:widowControl/>
        <w:spacing w:line="516" w:lineRule="atLeast"/>
        <w:ind w:firstLine="640" w:firstLineChars="200"/>
        <w:jc w:val="both"/>
        <w:rPr>
          <w:sz w:val="32"/>
          <w:szCs w:val="32"/>
        </w:rPr>
      </w:pPr>
      <w:r>
        <w:rPr>
          <w:rFonts w:hint="eastAsia"/>
          <w:sz w:val="32"/>
          <w:szCs w:val="32"/>
        </w:rPr>
        <w:t>特此声明。</w:t>
      </w:r>
    </w:p>
    <w:p>
      <w:pPr>
        <w:widowControl/>
        <w:spacing w:line="516" w:lineRule="atLeast"/>
        <w:ind w:firstLine="640" w:firstLineChars="200"/>
        <w:rPr>
          <w:sz w:val="32"/>
          <w:szCs w:val="32"/>
        </w:rPr>
      </w:pPr>
    </w:p>
    <w:p>
      <w:pPr>
        <w:widowControl/>
        <w:spacing w:line="516" w:lineRule="atLeast"/>
        <w:ind w:firstLine="640" w:firstLineChars="200"/>
        <w:rPr>
          <w:sz w:val="32"/>
          <w:szCs w:val="32"/>
        </w:rPr>
      </w:pPr>
    </w:p>
    <w:p>
      <w:pPr>
        <w:wordWrap w:val="0"/>
        <w:spacing w:after="120" w:line="440" w:lineRule="exact"/>
        <w:ind w:right="1120" w:firstLine="3680" w:firstLineChars="1150"/>
        <w:rPr>
          <w:sz w:val="32"/>
          <w:szCs w:val="32"/>
        </w:rPr>
      </w:pPr>
      <w:r>
        <w:rPr>
          <w:rFonts w:hint="eastAsia"/>
          <w:sz w:val="32"/>
          <w:szCs w:val="32"/>
        </w:rPr>
        <w:t xml:space="preserve">投标人名称（盖章）： </w:t>
      </w:r>
    </w:p>
    <w:p>
      <w:pPr>
        <w:wordWrap w:val="0"/>
        <w:spacing w:after="120" w:line="440" w:lineRule="exact"/>
        <w:ind w:right="1120" w:firstLine="1760" w:firstLineChars="550"/>
        <w:rPr>
          <w:sz w:val="32"/>
          <w:szCs w:val="32"/>
        </w:rPr>
      </w:pPr>
      <w:r>
        <w:rPr>
          <w:rFonts w:hint="eastAsia"/>
          <w:sz w:val="32"/>
          <w:szCs w:val="32"/>
        </w:rPr>
        <w:t>法定代表人或授权代表人</w:t>
      </w:r>
      <w:r>
        <w:rPr>
          <w:rFonts w:asciiTheme="minorEastAsia" w:hAnsiTheme="minorEastAsia" w:eastAsiaTheme="minorEastAsia"/>
          <w:sz w:val="32"/>
          <w:szCs w:val="32"/>
        </w:rPr>
        <w:t>（签字）</w:t>
      </w:r>
      <w:r>
        <w:rPr>
          <w:rFonts w:hint="eastAsia"/>
          <w:sz w:val="32"/>
          <w:szCs w:val="32"/>
        </w:rPr>
        <w:t>：</w:t>
      </w:r>
    </w:p>
    <w:p>
      <w:pPr>
        <w:spacing w:after="120" w:line="440" w:lineRule="exact"/>
        <w:ind w:right="129" w:firstLine="5920" w:firstLineChars="1850"/>
        <w:rPr>
          <w:sz w:val="32"/>
          <w:szCs w:val="32"/>
        </w:rPr>
      </w:pPr>
      <w:r>
        <w:rPr>
          <w:rFonts w:hint="eastAsia"/>
          <w:sz w:val="32"/>
          <w:szCs w:val="32"/>
        </w:rPr>
        <w:t>日期：</w:t>
      </w:r>
      <w:r>
        <w:rPr>
          <w:rFonts w:hint="eastAsia"/>
          <w:sz w:val="32"/>
          <w:szCs w:val="32"/>
          <w:u w:val="single"/>
        </w:rPr>
        <w:t xml:space="preserve">     </w:t>
      </w:r>
      <w:r>
        <w:rPr>
          <w:rFonts w:hint="eastAsia"/>
          <w:sz w:val="32"/>
          <w:szCs w:val="32"/>
        </w:rPr>
        <w:t>年</w:t>
      </w:r>
      <w:r>
        <w:rPr>
          <w:rFonts w:hint="eastAsia"/>
          <w:sz w:val="32"/>
          <w:szCs w:val="32"/>
          <w:u w:val="single"/>
        </w:rPr>
        <w:t xml:space="preserve">   </w:t>
      </w:r>
      <w:r>
        <w:rPr>
          <w:rFonts w:hint="eastAsia"/>
          <w:sz w:val="32"/>
          <w:szCs w:val="32"/>
        </w:rPr>
        <w:t>月</w:t>
      </w:r>
      <w:r>
        <w:rPr>
          <w:rFonts w:hint="eastAsia"/>
          <w:sz w:val="32"/>
          <w:szCs w:val="32"/>
          <w:u w:val="single"/>
        </w:rPr>
        <w:t xml:space="preserve">   </w:t>
      </w:r>
      <w:r>
        <w:rPr>
          <w:rFonts w:hint="eastAsia"/>
          <w:sz w:val="32"/>
          <w:szCs w:val="32"/>
        </w:rPr>
        <w:t>日</w:t>
      </w:r>
    </w:p>
    <w:p>
      <w:pPr>
        <w:pStyle w:val="9"/>
        <w:ind w:right="380"/>
        <w:jc w:val="center"/>
      </w:pPr>
    </w:p>
    <w:p>
      <w:pPr>
        <w:pStyle w:val="9"/>
        <w:ind w:right="380"/>
        <w:jc w:val="center"/>
      </w:pPr>
    </w:p>
    <w:p>
      <w:pPr>
        <w:pStyle w:val="9"/>
        <w:ind w:right="380"/>
        <w:jc w:val="center"/>
      </w:pPr>
    </w:p>
    <w:p>
      <w:pPr>
        <w:pStyle w:val="9"/>
        <w:ind w:right="380"/>
        <w:jc w:val="center"/>
      </w:pPr>
    </w:p>
    <w:p>
      <w:pPr>
        <w:pStyle w:val="9"/>
        <w:ind w:right="380"/>
        <w:jc w:val="center"/>
      </w:pPr>
    </w:p>
    <w:p>
      <w:pPr>
        <w:pStyle w:val="9"/>
        <w:ind w:right="380"/>
        <w:jc w:val="center"/>
      </w:pPr>
    </w:p>
    <w:p>
      <w:pPr>
        <w:pStyle w:val="9"/>
        <w:ind w:right="380"/>
        <w:jc w:val="center"/>
      </w:pPr>
    </w:p>
    <w:p>
      <w:pPr>
        <w:pStyle w:val="9"/>
        <w:ind w:right="380"/>
        <w:jc w:val="center"/>
      </w:pPr>
    </w:p>
    <w:p>
      <w:pPr>
        <w:pStyle w:val="9"/>
        <w:ind w:right="380"/>
        <w:jc w:val="center"/>
      </w:pPr>
    </w:p>
    <w:p>
      <w:pPr>
        <w:pStyle w:val="9"/>
        <w:ind w:right="380"/>
        <w:jc w:val="center"/>
      </w:pPr>
    </w:p>
    <w:p>
      <w:pPr>
        <w:pStyle w:val="9"/>
        <w:ind w:right="380"/>
        <w:jc w:val="center"/>
      </w:pPr>
    </w:p>
    <w:p>
      <w:pPr>
        <w:pStyle w:val="5"/>
        <w:ind w:left="0" w:firstLine="0"/>
        <w:jc w:val="center"/>
        <w:rPr>
          <w:rFonts w:ascii="黑体" w:hAnsi="黑体" w:eastAsia="黑体"/>
          <w:sz w:val="32"/>
          <w:szCs w:val="32"/>
        </w:rPr>
      </w:pPr>
      <w:r>
        <w:rPr>
          <w:rFonts w:hint="eastAsia" w:ascii="黑体" w:hAnsi="黑体" w:eastAsia="黑体"/>
          <w:sz w:val="32"/>
          <w:szCs w:val="32"/>
        </w:rPr>
        <w:t>七、产业类别</w:t>
      </w:r>
    </w:p>
    <w:p>
      <w:pPr>
        <w:pStyle w:val="9"/>
        <w:ind w:right="380"/>
        <w:jc w:val="center"/>
        <w:rPr>
          <w:sz w:val="22"/>
        </w:rPr>
      </w:pPr>
      <w:r>
        <w:rPr>
          <w:rFonts w:hint="eastAsia"/>
          <w:sz w:val="22"/>
        </w:rPr>
        <w:t xml:space="preserve">   </w:t>
      </w:r>
      <w:r>
        <w:rPr>
          <w:sz w:val="22"/>
        </w:rPr>
        <w:t>投标人按照招标文件要求，自行提供相关证明材料；</w:t>
      </w:r>
    </w:p>
    <w:p>
      <w:pPr>
        <w:pStyle w:val="5"/>
        <w:ind w:left="419" w:hanging="421" w:hangingChars="131"/>
        <w:jc w:val="center"/>
        <w:rPr>
          <w:rFonts w:ascii="黑体" w:hAnsi="黑体" w:eastAsia="黑体"/>
          <w:sz w:val="32"/>
          <w:szCs w:val="32"/>
        </w:rPr>
      </w:pPr>
      <w:r>
        <w:rPr>
          <w:rFonts w:hint="eastAsia" w:ascii="黑体" w:hAnsi="黑体" w:eastAsia="黑体"/>
          <w:sz w:val="32"/>
          <w:szCs w:val="32"/>
        </w:rPr>
        <w:t>八、企业资质</w:t>
      </w:r>
    </w:p>
    <w:p>
      <w:pPr>
        <w:pStyle w:val="9"/>
        <w:ind w:right="380"/>
        <w:jc w:val="center"/>
        <w:rPr>
          <w:sz w:val="22"/>
        </w:rPr>
      </w:pPr>
      <w:r>
        <w:rPr>
          <w:rFonts w:hint="eastAsia"/>
          <w:sz w:val="22"/>
        </w:rPr>
        <w:t xml:space="preserve">   </w:t>
      </w:r>
      <w:r>
        <w:rPr>
          <w:sz w:val="22"/>
        </w:rPr>
        <w:t>投标人按照招标文件要求，自行提供相关证明材料；</w:t>
      </w:r>
    </w:p>
    <w:p>
      <w:pPr>
        <w:pStyle w:val="5"/>
        <w:ind w:left="419" w:hanging="421" w:hangingChars="131"/>
        <w:jc w:val="center"/>
        <w:rPr>
          <w:rFonts w:ascii="黑体" w:hAnsi="黑体" w:eastAsia="黑体"/>
          <w:sz w:val="32"/>
          <w:szCs w:val="32"/>
        </w:rPr>
      </w:pPr>
      <w:r>
        <w:rPr>
          <w:rFonts w:hint="eastAsia" w:ascii="黑体" w:hAnsi="黑体" w:eastAsia="黑体"/>
          <w:sz w:val="32"/>
          <w:szCs w:val="32"/>
        </w:rPr>
        <w:t>九</w:t>
      </w:r>
      <w:r>
        <w:rPr>
          <w:rFonts w:ascii="黑体" w:hAnsi="黑体" w:eastAsia="黑体"/>
          <w:sz w:val="32"/>
          <w:szCs w:val="32"/>
        </w:rPr>
        <w:t>、营业收入</w:t>
      </w:r>
    </w:p>
    <w:p>
      <w:pPr>
        <w:pStyle w:val="9"/>
        <w:ind w:right="380"/>
        <w:jc w:val="center"/>
        <w:rPr>
          <w:sz w:val="22"/>
        </w:rPr>
      </w:pPr>
      <w:r>
        <w:rPr>
          <w:rFonts w:hint="eastAsia"/>
          <w:sz w:val="22"/>
        </w:rPr>
        <w:t xml:space="preserve">   </w:t>
      </w:r>
      <w:r>
        <w:rPr>
          <w:sz w:val="22"/>
        </w:rPr>
        <w:t>投标人按照招标文件要求，自行提供相关证明材料；</w:t>
      </w:r>
    </w:p>
    <w:p>
      <w:pPr>
        <w:pStyle w:val="5"/>
        <w:ind w:left="0" w:firstLine="0"/>
        <w:jc w:val="center"/>
        <w:rPr>
          <w:rFonts w:ascii="黑体" w:hAnsi="黑体" w:eastAsia="黑体"/>
          <w:sz w:val="32"/>
          <w:szCs w:val="32"/>
        </w:rPr>
      </w:pPr>
      <w:bookmarkStart w:id="21" w:name="八、纳税"/>
      <w:bookmarkEnd w:id="21"/>
      <w:r>
        <w:rPr>
          <w:rFonts w:hint="eastAsia" w:ascii="黑体" w:hAnsi="黑体" w:eastAsia="黑体"/>
          <w:sz w:val="32"/>
          <w:szCs w:val="32"/>
        </w:rPr>
        <w:t>十</w:t>
      </w:r>
      <w:r>
        <w:rPr>
          <w:rFonts w:ascii="黑体" w:hAnsi="黑体" w:eastAsia="黑体"/>
          <w:sz w:val="32"/>
          <w:szCs w:val="32"/>
        </w:rPr>
        <w:t>、</w:t>
      </w:r>
      <w:r>
        <w:rPr>
          <w:rFonts w:hint="eastAsia" w:ascii="黑体" w:hAnsi="黑体" w:eastAsia="黑体"/>
          <w:sz w:val="32"/>
          <w:szCs w:val="32"/>
        </w:rPr>
        <w:t>税收贡献</w:t>
      </w:r>
    </w:p>
    <w:p>
      <w:pPr>
        <w:pStyle w:val="9"/>
        <w:ind w:right="380"/>
        <w:jc w:val="center"/>
        <w:rPr>
          <w:sz w:val="22"/>
        </w:rPr>
      </w:pPr>
      <w:r>
        <w:rPr>
          <w:rFonts w:hint="eastAsia"/>
          <w:sz w:val="22"/>
        </w:rPr>
        <w:t xml:space="preserve">   </w:t>
      </w:r>
      <w:r>
        <w:rPr>
          <w:sz w:val="22"/>
        </w:rPr>
        <w:t>投标人按照招标文件要求，自行提供相关证明材料；</w:t>
      </w:r>
    </w:p>
    <w:p>
      <w:pPr>
        <w:pStyle w:val="5"/>
        <w:ind w:left="0" w:firstLine="0"/>
        <w:jc w:val="center"/>
        <w:rPr>
          <w:rFonts w:ascii="黑体" w:hAnsi="黑体" w:eastAsia="黑体"/>
          <w:sz w:val="32"/>
          <w:szCs w:val="32"/>
        </w:rPr>
      </w:pPr>
      <w:bookmarkStart w:id="22" w:name="九、国家高新技术企业认定"/>
      <w:bookmarkEnd w:id="22"/>
      <w:r>
        <w:rPr>
          <w:rFonts w:ascii="黑体" w:hAnsi="黑体" w:eastAsia="黑体"/>
          <w:sz w:val="32"/>
          <w:szCs w:val="32"/>
        </w:rPr>
        <w:t>十一、</w:t>
      </w:r>
      <w:r>
        <w:rPr>
          <w:rFonts w:hint="eastAsia" w:ascii="黑体" w:hAnsi="黑体" w:eastAsia="黑体"/>
          <w:sz w:val="32"/>
          <w:szCs w:val="32"/>
        </w:rPr>
        <w:t>成长指标</w:t>
      </w:r>
    </w:p>
    <w:p>
      <w:pPr>
        <w:pStyle w:val="9"/>
        <w:ind w:right="380"/>
        <w:jc w:val="center"/>
        <w:rPr>
          <w:sz w:val="22"/>
        </w:rPr>
      </w:pPr>
      <w:r>
        <w:rPr>
          <w:rFonts w:hint="eastAsia"/>
          <w:sz w:val="22"/>
        </w:rPr>
        <w:t xml:space="preserve">   </w:t>
      </w:r>
      <w:r>
        <w:rPr>
          <w:sz w:val="22"/>
        </w:rPr>
        <w:t>投标人按照招标文件要求，自行提供相关证明材料；</w:t>
      </w:r>
    </w:p>
    <w:p>
      <w:pPr>
        <w:pStyle w:val="5"/>
        <w:ind w:left="0" w:firstLine="0"/>
        <w:jc w:val="center"/>
        <w:rPr>
          <w:rFonts w:ascii="黑体" w:hAnsi="黑体" w:eastAsia="黑体"/>
          <w:sz w:val="32"/>
          <w:szCs w:val="32"/>
        </w:rPr>
      </w:pPr>
      <w:bookmarkStart w:id="23" w:name="十二、企业人员规模"/>
      <w:bookmarkEnd w:id="23"/>
      <w:r>
        <w:rPr>
          <w:rFonts w:ascii="黑体" w:hAnsi="黑体" w:eastAsia="黑体"/>
          <w:sz w:val="32"/>
          <w:szCs w:val="32"/>
        </w:rPr>
        <w:t>十二、</w:t>
      </w:r>
      <w:r>
        <w:rPr>
          <w:rFonts w:hint="eastAsia" w:ascii="黑体" w:hAnsi="黑体" w:eastAsia="黑体"/>
          <w:sz w:val="32"/>
          <w:szCs w:val="32"/>
        </w:rPr>
        <w:t>投资指标</w:t>
      </w:r>
    </w:p>
    <w:p>
      <w:pPr>
        <w:pStyle w:val="9"/>
        <w:ind w:right="380"/>
        <w:jc w:val="center"/>
        <w:rPr>
          <w:sz w:val="22"/>
        </w:rPr>
      </w:pPr>
      <w:r>
        <w:rPr>
          <w:rFonts w:hint="eastAsia"/>
          <w:sz w:val="22"/>
        </w:rPr>
        <w:t xml:space="preserve">   </w:t>
      </w:r>
      <w:r>
        <w:rPr>
          <w:sz w:val="22"/>
        </w:rPr>
        <w:t>投标人按照招标文件要求，自行提供相关证明材料；</w:t>
      </w:r>
    </w:p>
    <w:p>
      <w:pPr>
        <w:pStyle w:val="5"/>
        <w:ind w:left="0" w:firstLine="0"/>
        <w:jc w:val="center"/>
        <w:rPr>
          <w:rFonts w:ascii="黑体" w:hAnsi="黑体" w:eastAsia="黑体"/>
          <w:sz w:val="32"/>
          <w:szCs w:val="32"/>
        </w:rPr>
      </w:pPr>
      <w:bookmarkStart w:id="24" w:name="十三、体系认证"/>
      <w:bookmarkEnd w:id="24"/>
      <w:r>
        <w:rPr>
          <w:rFonts w:ascii="黑体" w:hAnsi="黑体" w:eastAsia="黑体"/>
          <w:sz w:val="32"/>
          <w:szCs w:val="32"/>
        </w:rPr>
        <w:t>十三、</w:t>
      </w:r>
      <w:r>
        <w:rPr>
          <w:rFonts w:hint="eastAsia" w:ascii="黑体" w:hAnsi="黑体" w:eastAsia="黑体"/>
          <w:sz w:val="32"/>
          <w:szCs w:val="32"/>
        </w:rPr>
        <w:t>技术指标</w:t>
      </w:r>
    </w:p>
    <w:p>
      <w:pPr>
        <w:pStyle w:val="9"/>
        <w:ind w:right="380"/>
        <w:jc w:val="center"/>
        <w:rPr>
          <w:sz w:val="22"/>
        </w:rPr>
      </w:pPr>
      <w:r>
        <w:rPr>
          <w:rFonts w:hint="eastAsia"/>
          <w:sz w:val="22"/>
        </w:rPr>
        <w:t xml:space="preserve">   </w:t>
      </w:r>
      <w:r>
        <w:rPr>
          <w:sz w:val="22"/>
        </w:rPr>
        <w:t>投标人按照招标文件要求，自行提供相关证明材料；</w:t>
      </w:r>
    </w:p>
    <w:p>
      <w:pPr>
        <w:pStyle w:val="5"/>
        <w:ind w:left="0" w:firstLine="0"/>
        <w:jc w:val="center"/>
        <w:rPr>
          <w:rFonts w:ascii="黑体" w:hAnsi="黑体" w:eastAsia="黑体"/>
          <w:sz w:val="32"/>
          <w:szCs w:val="32"/>
        </w:rPr>
      </w:pPr>
      <w:r>
        <w:rPr>
          <w:rFonts w:ascii="黑体" w:hAnsi="黑体" w:eastAsia="黑体"/>
          <w:sz w:val="32"/>
          <w:szCs w:val="32"/>
        </w:rPr>
        <w:t>十四、</w:t>
      </w:r>
      <w:r>
        <w:rPr>
          <w:rFonts w:hint="eastAsia" w:ascii="黑体" w:hAnsi="黑体" w:eastAsia="黑体"/>
          <w:sz w:val="32"/>
          <w:szCs w:val="32"/>
        </w:rPr>
        <w:t>人才指标</w:t>
      </w:r>
    </w:p>
    <w:p>
      <w:pPr>
        <w:pStyle w:val="9"/>
        <w:ind w:right="380"/>
        <w:jc w:val="center"/>
        <w:rPr>
          <w:sz w:val="22"/>
        </w:rPr>
      </w:pPr>
      <w:r>
        <w:rPr>
          <w:rFonts w:hint="eastAsia"/>
          <w:sz w:val="22"/>
        </w:rPr>
        <w:t xml:space="preserve">   </w:t>
      </w:r>
      <w:r>
        <w:rPr>
          <w:sz w:val="22"/>
        </w:rPr>
        <w:t>投标人按照招标文件要求，自行提供相关证明材料；</w:t>
      </w:r>
    </w:p>
    <w:p>
      <w:pPr>
        <w:pStyle w:val="5"/>
        <w:ind w:left="0" w:firstLine="0"/>
        <w:jc w:val="center"/>
        <w:rPr>
          <w:rFonts w:ascii="黑体" w:hAnsi="黑体" w:eastAsia="黑体"/>
          <w:sz w:val="32"/>
          <w:szCs w:val="32"/>
        </w:rPr>
      </w:pPr>
      <w:r>
        <w:rPr>
          <w:rFonts w:ascii="黑体" w:hAnsi="黑体" w:eastAsia="黑体"/>
          <w:sz w:val="32"/>
          <w:szCs w:val="32"/>
        </w:rPr>
        <w:t>十五、</w:t>
      </w:r>
      <w:r>
        <w:rPr>
          <w:rFonts w:hint="eastAsia" w:ascii="黑体" w:hAnsi="黑体" w:eastAsia="黑体"/>
          <w:sz w:val="32"/>
          <w:szCs w:val="32"/>
        </w:rPr>
        <w:t>企业管理</w:t>
      </w:r>
    </w:p>
    <w:p>
      <w:pPr>
        <w:pStyle w:val="9"/>
        <w:ind w:right="380"/>
        <w:jc w:val="center"/>
        <w:rPr>
          <w:sz w:val="22"/>
        </w:rPr>
      </w:pPr>
      <w:r>
        <w:rPr>
          <w:rFonts w:hint="eastAsia"/>
          <w:sz w:val="22"/>
        </w:rPr>
        <w:t xml:space="preserve">   </w:t>
      </w:r>
      <w:r>
        <w:rPr>
          <w:sz w:val="22"/>
        </w:rPr>
        <w:t>投标人按照招标文件要求，自行提供相关证明材料；</w:t>
      </w:r>
    </w:p>
    <w:p>
      <w:pPr>
        <w:pStyle w:val="5"/>
        <w:ind w:left="0" w:firstLine="0"/>
        <w:jc w:val="center"/>
        <w:rPr>
          <w:rFonts w:ascii="黑体" w:hAnsi="黑体" w:eastAsia="黑体"/>
          <w:sz w:val="32"/>
          <w:szCs w:val="32"/>
        </w:rPr>
      </w:pPr>
      <w:r>
        <w:rPr>
          <w:rFonts w:ascii="黑体" w:hAnsi="黑体" w:eastAsia="黑体"/>
          <w:sz w:val="32"/>
          <w:szCs w:val="32"/>
        </w:rPr>
        <w:t>十</w:t>
      </w:r>
      <w:r>
        <w:rPr>
          <w:rFonts w:hint="eastAsia" w:ascii="黑体" w:hAnsi="黑体" w:eastAsia="黑体"/>
          <w:sz w:val="32"/>
          <w:szCs w:val="32"/>
        </w:rPr>
        <w:t>六</w:t>
      </w:r>
      <w:r>
        <w:rPr>
          <w:rFonts w:ascii="黑体" w:hAnsi="黑体" w:eastAsia="黑体"/>
          <w:sz w:val="32"/>
          <w:szCs w:val="32"/>
        </w:rPr>
        <w:t>、</w:t>
      </w:r>
      <w:r>
        <w:rPr>
          <w:rFonts w:hint="eastAsia" w:ascii="黑体" w:hAnsi="黑体" w:eastAsia="黑体"/>
          <w:sz w:val="32"/>
          <w:szCs w:val="32"/>
        </w:rPr>
        <w:t>企业注册资本</w:t>
      </w:r>
    </w:p>
    <w:p>
      <w:pPr>
        <w:pStyle w:val="9"/>
        <w:ind w:right="380"/>
        <w:jc w:val="center"/>
        <w:rPr>
          <w:sz w:val="22"/>
        </w:rPr>
      </w:pPr>
      <w:r>
        <w:rPr>
          <w:rFonts w:hint="eastAsia"/>
          <w:sz w:val="22"/>
        </w:rPr>
        <w:t xml:space="preserve">  </w:t>
      </w:r>
      <w:r>
        <w:rPr>
          <w:sz w:val="22"/>
        </w:rPr>
        <w:t>投标人按照招标文件要求，自行提供相关证明材料；</w:t>
      </w:r>
    </w:p>
    <w:p>
      <w:pPr>
        <w:pStyle w:val="9"/>
        <w:ind w:right="380"/>
        <w:jc w:val="center"/>
        <w:rPr>
          <w:sz w:val="22"/>
        </w:rPr>
      </w:pPr>
    </w:p>
    <w:p>
      <w:pPr>
        <w:pStyle w:val="5"/>
        <w:ind w:left="0" w:firstLine="0"/>
        <w:jc w:val="center"/>
        <w:rPr>
          <w:rFonts w:ascii="黑体" w:hAnsi="黑体" w:eastAsia="黑体"/>
          <w:sz w:val="32"/>
          <w:szCs w:val="32"/>
        </w:rPr>
      </w:pPr>
    </w:p>
    <w:p>
      <w:pPr>
        <w:pStyle w:val="5"/>
        <w:ind w:left="0" w:firstLine="0"/>
        <w:jc w:val="center"/>
        <w:rPr>
          <w:rFonts w:ascii="黑体" w:hAnsi="黑体" w:eastAsia="黑体"/>
          <w:sz w:val="32"/>
          <w:szCs w:val="32"/>
        </w:rPr>
      </w:pPr>
    </w:p>
    <w:p>
      <w:pPr>
        <w:pStyle w:val="5"/>
        <w:ind w:left="0" w:firstLine="0"/>
        <w:jc w:val="center"/>
        <w:rPr>
          <w:rFonts w:ascii="黑体" w:hAnsi="黑体" w:eastAsia="黑体"/>
          <w:sz w:val="32"/>
          <w:szCs w:val="32"/>
        </w:rPr>
      </w:pPr>
    </w:p>
    <w:p>
      <w:pPr>
        <w:pStyle w:val="5"/>
        <w:ind w:left="0" w:firstLine="0"/>
        <w:jc w:val="center"/>
        <w:rPr>
          <w:rFonts w:ascii="黑体" w:hAnsi="黑体" w:eastAsia="黑体"/>
          <w:sz w:val="32"/>
          <w:szCs w:val="32"/>
        </w:rPr>
      </w:pPr>
    </w:p>
    <w:p>
      <w:pPr>
        <w:pStyle w:val="5"/>
        <w:ind w:left="0" w:firstLine="0"/>
        <w:jc w:val="center"/>
        <w:rPr>
          <w:rFonts w:ascii="黑体" w:hAnsi="黑体" w:eastAsia="黑体"/>
          <w:sz w:val="32"/>
          <w:szCs w:val="32"/>
        </w:rPr>
      </w:pPr>
    </w:p>
    <w:p>
      <w:pPr>
        <w:pStyle w:val="5"/>
        <w:ind w:left="0" w:firstLine="0"/>
        <w:jc w:val="center"/>
        <w:rPr>
          <w:rFonts w:ascii="黑体" w:hAnsi="黑体" w:eastAsia="黑体"/>
          <w:sz w:val="32"/>
          <w:szCs w:val="32"/>
        </w:rPr>
      </w:pPr>
    </w:p>
    <w:p>
      <w:pPr>
        <w:pStyle w:val="5"/>
        <w:ind w:left="0" w:firstLine="0"/>
        <w:jc w:val="center"/>
        <w:rPr>
          <w:rFonts w:ascii="黑体" w:hAnsi="黑体" w:eastAsia="黑体"/>
          <w:sz w:val="32"/>
          <w:szCs w:val="32"/>
        </w:rPr>
      </w:pPr>
    </w:p>
    <w:p>
      <w:pPr>
        <w:rPr>
          <w:rFonts w:ascii="黑体" w:hAnsi="黑体" w:eastAsia="黑体"/>
          <w:sz w:val="32"/>
          <w:szCs w:val="32"/>
        </w:rPr>
      </w:pPr>
    </w:p>
    <w:p>
      <w:pPr>
        <w:rPr>
          <w:rFonts w:ascii="黑体" w:hAnsi="黑体" w:eastAsia="黑体"/>
          <w:sz w:val="32"/>
          <w:szCs w:val="32"/>
        </w:rPr>
      </w:pPr>
    </w:p>
    <w:p>
      <w:pPr>
        <w:rPr>
          <w:rFonts w:ascii="黑体" w:hAnsi="黑体" w:eastAsia="黑体"/>
          <w:sz w:val="32"/>
          <w:szCs w:val="32"/>
        </w:rPr>
      </w:pPr>
    </w:p>
    <w:p>
      <w:pPr>
        <w:rPr>
          <w:rFonts w:ascii="黑体" w:hAnsi="黑体" w:eastAsia="黑体"/>
          <w:sz w:val="32"/>
          <w:szCs w:val="32"/>
        </w:rPr>
      </w:pPr>
    </w:p>
    <w:p>
      <w:pPr>
        <w:rPr>
          <w:rFonts w:ascii="黑体" w:hAnsi="黑体" w:eastAsia="黑体"/>
          <w:sz w:val="32"/>
          <w:szCs w:val="32"/>
        </w:rPr>
      </w:pPr>
    </w:p>
    <w:p>
      <w:pPr>
        <w:rPr>
          <w:rFonts w:ascii="黑体" w:hAnsi="黑体" w:eastAsia="黑体"/>
          <w:sz w:val="32"/>
          <w:szCs w:val="32"/>
        </w:rPr>
      </w:pPr>
    </w:p>
    <w:p>
      <w:pPr>
        <w:pStyle w:val="5"/>
        <w:ind w:left="0" w:firstLine="0"/>
        <w:jc w:val="center"/>
        <w:rPr>
          <w:rFonts w:ascii="黑体" w:hAnsi="黑体" w:eastAsia="黑体"/>
          <w:sz w:val="32"/>
          <w:szCs w:val="32"/>
        </w:rPr>
      </w:pPr>
    </w:p>
    <w:p>
      <w:pPr>
        <w:pStyle w:val="5"/>
        <w:ind w:left="0" w:firstLine="0"/>
        <w:jc w:val="center"/>
        <w:rPr>
          <w:rFonts w:ascii="黑体" w:hAnsi="黑体" w:eastAsia="黑体"/>
          <w:sz w:val="32"/>
          <w:szCs w:val="32"/>
        </w:rPr>
      </w:pPr>
    </w:p>
    <w:p>
      <w:pPr>
        <w:pStyle w:val="5"/>
        <w:ind w:left="0" w:firstLine="0"/>
        <w:jc w:val="center"/>
        <w:rPr>
          <w:rFonts w:ascii="黑体" w:hAnsi="黑体" w:eastAsia="黑体"/>
          <w:sz w:val="32"/>
          <w:szCs w:val="32"/>
        </w:rPr>
      </w:pPr>
    </w:p>
    <w:p>
      <w:pPr>
        <w:pStyle w:val="5"/>
        <w:ind w:left="0" w:firstLine="0"/>
        <w:jc w:val="center"/>
        <w:rPr>
          <w:rFonts w:ascii="黑体" w:hAnsi="黑体" w:eastAsia="黑体"/>
          <w:sz w:val="32"/>
          <w:szCs w:val="32"/>
        </w:rPr>
      </w:pPr>
      <w:r>
        <w:rPr>
          <w:rFonts w:ascii="黑体" w:hAnsi="黑体" w:eastAsia="黑体"/>
          <w:sz w:val="32"/>
          <w:szCs w:val="32"/>
        </w:rPr>
        <w:t>十</w:t>
      </w: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投标</w:t>
      </w:r>
      <w:r>
        <w:rPr>
          <w:rFonts w:ascii="黑体" w:hAnsi="黑体" w:eastAsia="黑体"/>
          <w:sz w:val="32"/>
          <w:szCs w:val="32"/>
        </w:rPr>
        <w:t>保证金证明</w:t>
      </w:r>
    </w:p>
    <w:p>
      <w:pPr>
        <w:pStyle w:val="9"/>
        <w:spacing w:line="360" w:lineRule="auto"/>
        <w:ind w:right="380"/>
      </w:pPr>
    </w:p>
    <w:p>
      <w:pPr>
        <w:pStyle w:val="9"/>
        <w:spacing w:line="360" w:lineRule="auto"/>
        <w:ind w:right="380"/>
      </w:pPr>
      <w:r>
        <w:rPr>
          <w:rFonts w:hint="eastAsia"/>
        </w:rPr>
        <w:t>深圳市公明田寮股份合作公司、</w:t>
      </w:r>
      <w:r>
        <w:t>深圳市</w:t>
      </w:r>
      <w:r>
        <w:rPr>
          <w:rFonts w:hint="eastAsia"/>
        </w:rPr>
        <w:t>万皓管理咨询</w:t>
      </w:r>
      <w:r>
        <w:t>有限公司：</w:t>
      </w:r>
    </w:p>
    <w:p>
      <w:pPr>
        <w:pStyle w:val="9"/>
        <w:spacing w:line="360" w:lineRule="auto"/>
        <w:ind w:right="380" w:firstLine="420" w:firstLineChars="200"/>
      </w:pPr>
      <w:r>
        <w:t>我公司自愿参加</w:t>
      </w:r>
      <w:r>
        <w:rPr>
          <w:rFonts w:hint="eastAsia" w:ascii="仿宋_GB2312" w:hAnsi="黑体" w:eastAsia="仿宋_GB2312"/>
          <w:sz w:val="22"/>
          <w:szCs w:val="32"/>
        </w:rPr>
        <w:t>光明区田寮社区第六工业区第4栋厂房及宿舍物业公开招标项目</w:t>
      </w:r>
      <w:r>
        <w:t>，</w:t>
      </w:r>
      <w:r>
        <w:rPr>
          <w:rFonts w:hint="eastAsia"/>
        </w:rPr>
        <w:t>招投标</w:t>
      </w:r>
      <w:r>
        <w:t>按招标文件的规定，于</w:t>
      </w:r>
      <w:r>
        <w:rPr>
          <w:u w:val="single"/>
        </w:rPr>
        <w:t xml:space="preserve"> </w:t>
      </w:r>
      <w:r>
        <w:rPr>
          <w:u w:val="single"/>
        </w:rPr>
        <w:tab/>
      </w:r>
      <w:r>
        <w:t>年</w:t>
      </w:r>
      <w:r>
        <w:rPr>
          <w:rFonts w:hint="eastAsia"/>
          <w:u w:val="single"/>
        </w:rPr>
        <w:t xml:space="preserve">  </w:t>
      </w:r>
      <w:r>
        <w:rPr>
          <w:u w:val="single"/>
        </w:rPr>
        <w:t xml:space="preserve"> </w:t>
      </w:r>
      <w:r>
        <w:t>月</w:t>
      </w:r>
      <w:r>
        <w:rPr>
          <w:rFonts w:hint="eastAsia"/>
          <w:u w:val="single"/>
        </w:rPr>
        <w:t xml:space="preserve">    </w:t>
      </w:r>
      <w:r>
        <w:t>日通过银行转账方式交纳</w:t>
      </w:r>
      <w:r>
        <w:rPr>
          <w:rFonts w:hint="eastAsia"/>
        </w:rPr>
        <w:t>投标</w:t>
      </w:r>
      <w:r>
        <w:t>保证金人民币（大写）</w:t>
      </w:r>
      <w:r>
        <w:rPr>
          <w:rFonts w:hint="eastAsia"/>
        </w:rPr>
        <w:t>伍万</w:t>
      </w:r>
      <w:r>
        <w:t>元</w:t>
      </w:r>
      <w:r>
        <w:rPr>
          <w:rFonts w:hint="eastAsia"/>
        </w:rPr>
        <w:t>整</w:t>
      </w:r>
      <w:r>
        <w:t>（小</w:t>
      </w:r>
      <w:r>
        <w:rPr>
          <w:rFonts w:hint="eastAsia"/>
        </w:rPr>
        <w:t>写</w:t>
      </w:r>
      <w:r>
        <w:t>￥</w:t>
      </w:r>
      <w:r>
        <w:rPr>
          <w:rFonts w:hint="eastAsia"/>
        </w:rPr>
        <w:t>50000.00</w:t>
      </w:r>
      <w:r>
        <w:t>）的</w:t>
      </w:r>
      <w:r>
        <w:rPr>
          <w:rFonts w:hint="eastAsia"/>
        </w:rPr>
        <w:t>投标</w:t>
      </w:r>
      <w:r>
        <w:t>保证金。</w:t>
      </w:r>
    </w:p>
    <w:p>
      <w:pPr>
        <w:pStyle w:val="9"/>
        <w:spacing w:line="360" w:lineRule="auto"/>
        <w:ind w:right="380"/>
      </w:pPr>
    </w:p>
    <w:p>
      <w:pPr>
        <w:pStyle w:val="9"/>
        <w:spacing w:line="360" w:lineRule="auto"/>
        <w:ind w:right="380" w:firstLine="5460" w:firstLineChars="2600"/>
      </w:pPr>
      <w:r>
        <w:t>投标人（</w:t>
      </w:r>
      <w:r>
        <w:rPr>
          <w:rFonts w:hint="eastAsia"/>
        </w:rPr>
        <w:t>盖</w:t>
      </w:r>
      <w:r>
        <w:t xml:space="preserve">章）： </w:t>
      </w:r>
    </w:p>
    <w:p>
      <w:pPr>
        <w:pStyle w:val="9"/>
        <w:spacing w:line="360" w:lineRule="auto"/>
        <w:ind w:right="380" w:firstLine="6510" w:firstLineChars="3100"/>
      </w:pPr>
      <w:r>
        <w:t>日期：</w:t>
      </w:r>
      <w:r>
        <w:rPr>
          <w:rFonts w:hint="eastAsia"/>
        </w:rPr>
        <w:t xml:space="preserve">   </w:t>
      </w:r>
      <w:r>
        <w:t>年</w:t>
      </w:r>
      <w:r>
        <w:rPr>
          <w:rFonts w:hint="eastAsia"/>
        </w:rPr>
        <w:t xml:space="preserve">   </w:t>
      </w:r>
      <w:r>
        <w:t>月</w:t>
      </w:r>
      <w:r>
        <w:rPr>
          <w:rFonts w:hint="eastAsia"/>
        </w:rPr>
        <w:t xml:space="preserve">   </w:t>
      </w:r>
      <w:r>
        <w:t>日</w:t>
      </w:r>
    </w:p>
    <w:p>
      <w:pPr>
        <w:pStyle w:val="9"/>
        <w:spacing w:before="153" w:line="516" w:lineRule="auto"/>
        <w:ind w:left="103" w:right="102" w:firstLine="420" w:firstLineChars="200"/>
      </w:pPr>
      <w:r>
        <w:t>附：粘贴转账或汇款的银行凭证复印件加盖投标人公章或者招标</w:t>
      </w:r>
      <w:r>
        <w:rPr>
          <w:rFonts w:hint="eastAsia"/>
        </w:rPr>
        <w:t>人</w:t>
      </w:r>
      <w:r>
        <w:t>开具的</w:t>
      </w:r>
      <w:r>
        <w:rPr>
          <w:rFonts w:hint="eastAsia"/>
        </w:rPr>
        <w:t>投标</w:t>
      </w:r>
      <w:r>
        <w:t>保证金收据复印件</w:t>
      </w:r>
      <w:r>
        <w:rPr>
          <w:rFonts w:hint="eastAsia"/>
        </w:rPr>
        <w:t>或扫描件</w:t>
      </w:r>
      <w:r>
        <w:t>加盖投标人公章。</w:t>
      </w:r>
      <w:r>
        <w:rPr>
          <w:rFonts w:hint="eastAsia"/>
        </w:rPr>
        <w:t>（</w:t>
      </w:r>
      <w:r>
        <w:t>投标保证金必须从投标人基本账户转出</w:t>
      </w:r>
      <w:r>
        <w:rPr>
          <w:rFonts w:hint="eastAsia"/>
        </w:rPr>
        <w:t>，如缴纳现金或个人账户转至招标人指定银行账户的，须提供招标人开具的投标保证金缴纳收据凭证并加盖招标人财务专用章）</w:t>
      </w:r>
      <w:bookmarkStart w:id="25" w:name="二十一、缴纳招标代理服务费承诺函"/>
      <w:bookmarkEnd w:id="25"/>
      <w:bookmarkStart w:id="26" w:name="二十二、其他材料"/>
      <w:bookmarkEnd w:id="26"/>
    </w:p>
    <w:p>
      <w:pPr>
        <w:pStyle w:val="5"/>
        <w:ind w:left="0" w:firstLine="0"/>
        <w:jc w:val="center"/>
        <w:rPr>
          <w:rFonts w:ascii="黑体" w:hAnsi="黑体" w:eastAsia="黑体"/>
          <w:sz w:val="32"/>
          <w:szCs w:val="32"/>
        </w:rPr>
      </w:pPr>
      <w:r>
        <w:rPr>
          <w:rFonts w:hint="eastAsia" w:ascii="黑体" w:hAnsi="黑体" w:eastAsia="黑体"/>
          <w:sz w:val="32"/>
          <w:szCs w:val="32"/>
        </w:rPr>
        <w:t>十八</w:t>
      </w:r>
      <w:r>
        <w:rPr>
          <w:rFonts w:ascii="黑体" w:hAnsi="黑体" w:eastAsia="黑体"/>
          <w:sz w:val="32"/>
          <w:szCs w:val="32"/>
        </w:rPr>
        <w:t>、缴纳招标代理服务费承诺函</w:t>
      </w:r>
    </w:p>
    <w:p/>
    <w:p>
      <w:pPr>
        <w:pStyle w:val="9"/>
        <w:spacing w:line="360" w:lineRule="auto"/>
        <w:ind w:right="380"/>
        <w:rPr>
          <w:sz w:val="22"/>
          <w:szCs w:val="22"/>
        </w:rPr>
      </w:pPr>
      <w:r>
        <w:rPr>
          <w:sz w:val="22"/>
          <w:szCs w:val="22"/>
        </w:rPr>
        <w:t>致：深圳市</w:t>
      </w:r>
      <w:r>
        <w:rPr>
          <w:rFonts w:hint="eastAsia"/>
          <w:sz w:val="22"/>
          <w:szCs w:val="22"/>
        </w:rPr>
        <w:t>万皓管理咨询</w:t>
      </w:r>
      <w:r>
        <w:rPr>
          <w:sz w:val="22"/>
          <w:szCs w:val="22"/>
        </w:rPr>
        <w:t>有限公司</w:t>
      </w:r>
    </w:p>
    <w:p>
      <w:pPr>
        <w:pStyle w:val="9"/>
        <w:spacing w:line="360" w:lineRule="auto"/>
        <w:ind w:right="380" w:firstLine="1100" w:firstLineChars="500"/>
        <w:rPr>
          <w:sz w:val="22"/>
          <w:szCs w:val="22"/>
        </w:rPr>
      </w:pPr>
      <w:r>
        <w:rPr>
          <w:sz w:val="22"/>
          <w:szCs w:val="22"/>
        </w:rPr>
        <w:t>我方同意按招标文件规定向招标代理机构缴纳招标代理服务费。</w:t>
      </w:r>
    </w:p>
    <w:p>
      <w:pPr>
        <w:pStyle w:val="9"/>
        <w:spacing w:line="360" w:lineRule="auto"/>
        <w:ind w:right="380"/>
        <w:rPr>
          <w:sz w:val="22"/>
          <w:szCs w:val="22"/>
        </w:rPr>
      </w:pPr>
    </w:p>
    <w:p>
      <w:pPr>
        <w:pStyle w:val="9"/>
        <w:spacing w:line="360" w:lineRule="auto"/>
        <w:ind w:right="380" w:firstLine="5170" w:firstLineChars="2350"/>
        <w:rPr>
          <w:sz w:val="22"/>
          <w:szCs w:val="22"/>
        </w:rPr>
      </w:pPr>
      <w:r>
        <w:rPr>
          <w:sz w:val="22"/>
          <w:szCs w:val="22"/>
        </w:rPr>
        <w:t>投标人（</w:t>
      </w:r>
      <w:r>
        <w:rPr>
          <w:rFonts w:hint="eastAsia"/>
          <w:sz w:val="22"/>
          <w:szCs w:val="22"/>
        </w:rPr>
        <w:t>盖</w:t>
      </w:r>
      <w:r>
        <w:rPr>
          <w:sz w:val="22"/>
          <w:szCs w:val="22"/>
        </w:rPr>
        <w:t xml:space="preserve">章）： </w:t>
      </w:r>
    </w:p>
    <w:p>
      <w:pPr>
        <w:pStyle w:val="9"/>
        <w:spacing w:line="360" w:lineRule="auto"/>
        <w:ind w:right="380" w:firstLine="6380" w:firstLineChars="2900"/>
        <w:rPr>
          <w:sz w:val="22"/>
          <w:szCs w:val="22"/>
        </w:rPr>
      </w:pPr>
      <w:r>
        <w:rPr>
          <w:sz w:val="22"/>
          <w:szCs w:val="22"/>
        </w:rPr>
        <w:t>日期：</w:t>
      </w:r>
      <w:r>
        <w:rPr>
          <w:sz w:val="22"/>
          <w:szCs w:val="22"/>
        </w:rPr>
        <w:tab/>
      </w:r>
      <w:r>
        <w:rPr>
          <w:sz w:val="22"/>
          <w:szCs w:val="22"/>
        </w:rPr>
        <w:t>年</w:t>
      </w:r>
      <w:r>
        <w:rPr>
          <w:sz w:val="22"/>
          <w:szCs w:val="22"/>
        </w:rPr>
        <w:tab/>
      </w:r>
      <w:r>
        <w:rPr>
          <w:sz w:val="22"/>
          <w:szCs w:val="22"/>
        </w:rPr>
        <w:t>月</w:t>
      </w:r>
      <w:r>
        <w:rPr>
          <w:sz w:val="22"/>
          <w:szCs w:val="22"/>
        </w:rPr>
        <w:tab/>
      </w:r>
      <w:r>
        <w:rPr>
          <w:sz w:val="22"/>
          <w:szCs w:val="22"/>
        </w:rPr>
        <w:t>日</w:t>
      </w:r>
    </w:p>
    <w:p>
      <w:pPr>
        <w:pStyle w:val="5"/>
        <w:ind w:left="0" w:firstLine="0"/>
        <w:jc w:val="center"/>
        <w:rPr>
          <w:rFonts w:ascii="黑体" w:hAnsi="黑体" w:eastAsia="黑体"/>
          <w:sz w:val="32"/>
          <w:szCs w:val="32"/>
        </w:rPr>
      </w:pPr>
      <w:r>
        <w:rPr>
          <w:rFonts w:hint="eastAsia" w:ascii="黑体" w:hAnsi="黑体" w:eastAsia="黑体"/>
          <w:sz w:val="32"/>
          <w:szCs w:val="32"/>
        </w:rPr>
        <w:t>十九</w:t>
      </w:r>
      <w:r>
        <w:rPr>
          <w:rFonts w:ascii="黑体" w:hAnsi="黑体" w:eastAsia="黑体"/>
          <w:sz w:val="32"/>
          <w:szCs w:val="32"/>
        </w:rPr>
        <w:t>、其他材料</w:t>
      </w:r>
    </w:p>
    <w:p>
      <w:pPr>
        <w:pStyle w:val="9"/>
        <w:ind w:right="380"/>
        <w:jc w:val="center"/>
      </w:pPr>
    </w:p>
    <w:p>
      <w:pPr>
        <w:pStyle w:val="9"/>
        <w:ind w:right="380"/>
        <w:jc w:val="center"/>
      </w:pPr>
    </w:p>
    <w:p>
      <w:pPr>
        <w:pStyle w:val="4"/>
        <w:tabs>
          <w:tab w:val="left" w:pos="962"/>
        </w:tabs>
        <w:spacing w:before="1"/>
        <w:ind w:left="0" w:right="375"/>
        <w:jc w:val="center"/>
        <w:rPr>
          <w:rFonts w:eastAsiaTheme="minorEastAsia"/>
        </w:rPr>
      </w:pPr>
      <w:r>
        <w:t>投标人认为有必要提供的其他证明材料统一装订在本项</w:t>
      </w:r>
    </w:p>
    <w:p>
      <w:pPr>
        <w:pStyle w:val="4"/>
        <w:tabs>
          <w:tab w:val="left" w:pos="962"/>
        </w:tabs>
        <w:spacing w:before="1"/>
        <w:ind w:left="0" w:right="375"/>
        <w:jc w:val="center"/>
        <w:rPr>
          <w:rFonts w:eastAsiaTheme="minorEastAsia"/>
        </w:rPr>
      </w:pPr>
    </w:p>
    <w:p>
      <w:pPr>
        <w:pStyle w:val="4"/>
        <w:tabs>
          <w:tab w:val="left" w:pos="962"/>
        </w:tabs>
        <w:spacing w:before="1"/>
        <w:ind w:left="0" w:right="375"/>
        <w:jc w:val="center"/>
        <w:rPr>
          <w:rFonts w:eastAsiaTheme="minorEastAsia"/>
        </w:rPr>
      </w:pPr>
    </w:p>
    <w:p>
      <w:pPr>
        <w:pStyle w:val="4"/>
        <w:tabs>
          <w:tab w:val="left" w:pos="962"/>
        </w:tabs>
        <w:spacing w:before="1"/>
        <w:ind w:left="0" w:right="375"/>
        <w:jc w:val="center"/>
        <w:rPr>
          <w:rFonts w:eastAsiaTheme="minorEastAsia"/>
        </w:rPr>
      </w:pPr>
    </w:p>
    <w:p>
      <w:pPr>
        <w:pStyle w:val="4"/>
        <w:tabs>
          <w:tab w:val="left" w:pos="962"/>
        </w:tabs>
        <w:spacing w:before="1"/>
        <w:ind w:left="0" w:right="375"/>
        <w:jc w:val="center"/>
        <w:rPr>
          <w:rFonts w:eastAsiaTheme="minorEastAsia"/>
        </w:rPr>
      </w:pPr>
    </w:p>
    <w:p>
      <w:pPr>
        <w:pStyle w:val="4"/>
        <w:tabs>
          <w:tab w:val="left" w:pos="962"/>
        </w:tabs>
        <w:spacing w:before="1"/>
        <w:ind w:left="0" w:right="375"/>
        <w:jc w:val="center"/>
        <w:rPr>
          <w:rFonts w:eastAsiaTheme="minorEastAsia"/>
        </w:rPr>
      </w:pPr>
    </w:p>
    <w:p>
      <w:pPr>
        <w:pStyle w:val="4"/>
        <w:tabs>
          <w:tab w:val="left" w:pos="962"/>
        </w:tabs>
        <w:spacing w:before="1"/>
        <w:ind w:left="0" w:right="375"/>
        <w:jc w:val="center"/>
        <w:rPr>
          <w:rFonts w:eastAsiaTheme="minorEastAsia"/>
        </w:rPr>
      </w:pPr>
    </w:p>
    <w:p>
      <w:pPr>
        <w:pStyle w:val="4"/>
        <w:tabs>
          <w:tab w:val="left" w:pos="962"/>
        </w:tabs>
        <w:spacing w:before="1"/>
        <w:ind w:left="0" w:right="375"/>
        <w:jc w:val="center"/>
        <w:rPr>
          <w:rFonts w:eastAsiaTheme="minorEastAsia"/>
        </w:rPr>
      </w:pPr>
    </w:p>
    <w:p>
      <w:pPr>
        <w:pStyle w:val="4"/>
        <w:tabs>
          <w:tab w:val="left" w:pos="962"/>
        </w:tabs>
        <w:spacing w:before="1"/>
        <w:ind w:left="0" w:right="375"/>
        <w:jc w:val="center"/>
        <w:rPr>
          <w:rFonts w:eastAsiaTheme="minorEastAsia"/>
        </w:rPr>
      </w:pPr>
    </w:p>
    <w:p>
      <w:pPr>
        <w:rPr>
          <w:rFonts w:eastAsiaTheme="minorEastAsia"/>
        </w:rPr>
      </w:pPr>
    </w:p>
    <w:p>
      <w:pPr>
        <w:rPr>
          <w:rFonts w:eastAsiaTheme="minorEastAsia"/>
        </w:rPr>
      </w:pPr>
    </w:p>
    <w:p>
      <w:pPr>
        <w:pStyle w:val="4"/>
        <w:tabs>
          <w:tab w:val="left" w:pos="962"/>
        </w:tabs>
        <w:spacing w:before="1"/>
        <w:ind w:left="0" w:right="375"/>
        <w:jc w:val="center"/>
        <w:rPr>
          <w:rFonts w:eastAsiaTheme="minorEastAsia"/>
        </w:rPr>
      </w:pPr>
    </w:p>
    <w:p>
      <w:pPr>
        <w:pStyle w:val="4"/>
        <w:tabs>
          <w:tab w:val="left" w:pos="962"/>
        </w:tabs>
        <w:spacing w:before="1"/>
        <w:ind w:left="0" w:right="375"/>
        <w:jc w:val="center"/>
        <w:rPr>
          <w:rFonts w:ascii="黑体" w:hAnsi="黑体" w:eastAsia="黑体"/>
          <w:sz w:val="36"/>
          <w:szCs w:val="36"/>
        </w:rPr>
      </w:pPr>
      <w:r>
        <w:rPr>
          <w:rFonts w:hint="eastAsia" w:ascii="黑体" w:hAnsi="黑体" w:eastAsia="黑体"/>
          <w:sz w:val="36"/>
          <w:szCs w:val="36"/>
        </w:rPr>
        <w:t>第四章 合同条款及格式</w:t>
      </w:r>
    </w:p>
    <w:p>
      <w:pPr>
        <w:wordWrap w:val="0"/>
        <w:rPr>
          <w:rFonts w:ascii="仿宋_GB2312" w:eastAsia="仿宋_GB2312"/>
          <w:sz w:val="72"/>
          <w:szCs w:val="72"/>
        </w:rPr>
      </w:pPr>
    </w:p>
    <w:p>
      <w:pPr>
        <w:wordWrap w:val="0"/>
        <w:rPr>
          <w:rFonts w:ascii="仿宋_GB2312" w:eastAsia="仿宋_GB2312"/>
          <w:sz w:val="72"/>
          <w:szCs w:val="72"/>
        </w:rPr>
      </w:pPr>
    </w:p>
    <w:p>
      <w:pPr>
        <w:wordWrap w:val="0"/>
        <w:jc w:val="center"/>
        <w:rPr>
          <w:sz w:val="100"/>
          <w:szCs w:val="100"/>
        </w:rPr>
      </w:pPr>
      <w:r>
        <w:rPr>
          <w:rFonts w:hint="eastAsia"/>
          <w:sz w:val="100"/>
          <w:szCs w:val="100"/>
        </w:rPr>
        <w:t>深圳市房屋租赁</w:t>
      </w:r>
    </w:p>
    <w:p>
      <w:pPr>
        <w:wordWrap w:val="0"/>
        <w:jc w:val="center"/>
        <w:rPr>
          <w:sz w:val="84"/>
          <w:szCs w:val="84"/>
        </w:rPr>
      </w:pPr>
    </w:p>
    <w:p>
      <w:pPr>
        <w:wordWrap w:val="0"/>
        <w:jc w:val="center"/>
        <w:rPr>
          <w:b/>
          <w:bCs/>
          <w:sz w:val="120"/>
          <w:szCs w:val="120"/>
        </w:rPr>
      </w:pPr>
      <w:r>
        <w:rPr>
          <w:rFonts w:hint="eastAsia"/>
          <w:b/>
          <w:bCs/>
          <w:sz w:val="120"/>
          <w:szCs w:val="120"/>
        </w:rPr>
        <w:t>合</w:t>
      </w:r>
    </w:p>
    <w:p>
      <w:pPr>
        <w:wordWrap w:val="0"/>
        <w:jc w:val="center"/>
        <w:rPr>
          <w:b/>
          <w:bCs/>
          <w:sz w:val="120"/>
          <w:szCs w:val="120"/>
        </w:rPr>
      </w:pPr>
      <w:r>
        <w:rPr>
          <w:rFonts w:hint="eastAsia"/>
          <w:b/>
          <w:bCs/>
          <w:sz w:val="120"/>
          <w:szCs w:val="120"/>
        </w:rPr>
        <w:t>同</w:t>
      </w:r>
    </w:p>
    <w:p>
      <w:pPr>
        <w:wordWrap w:val="0"/>
        <w:jc w:val="center"/>
        <w:rPr>
          <w:sz w:val="84"/>
          <w:szCs w:val="84"/>
        </w:rPr>
      </w:pPr>
      <w:r>
        <w:rPr>
          <w:rFonts w:hint="eastAsia"/>
          <w:b/>
          <w:bCs/>
          <w:sz w:val="120"/>
          <w:szCs w:val="120"/>
        </w:rPr>
        <w:t>书</w:t>
      </w:r>
    </w:p>
    <w:p>
      <w:pPr>
        <w:wordWrap w:val="0"/>
        <w:jc w:val="center"/>
        <w:rPr>
          <w:sz w:val="84"/>
          <w:szCs w:val="84"/>
        </w:rPr>
      </w:pPr>
    </w:p>
    <w:p>
      <w:pPr>
        <w:wordWrap w:val="0"/>
        <w:jc w:val="center"/>
        <w:rPr>
          <w:b/>
          <w:bCs/>
          <w:sz w:val="36"/>
          <w:szCs w:val="36"/>
        </w:rPr>
      </w:pPr>
    </w:p>
    <w:p>
      <w:pPr>
        <w:wordWrap w:val="0"/>
        <w:jc w:val="center"/>
        <w:rPr>
          <w:b/>
          <w:bCs/>
          <w:sz w:val="36"/>
          <w:szCs w:val="36"/>
        </w:rPr>
      </w:pPr>
    </w:p>
    <w:p>
      <w:pPr>
        <w:wordWrap w:val="0"/>
        <w:jc w:val="center"/>
        <w:rPr>
          <w:b/>
          <w:bCs/>
          <w:sz w:val="36"/>
          <w:szCs w:val="36"/>
        </w:rPr>
      </w:pPr>
    </w:p>
    <w:p>
      <w:pPr>
        <w:wordWrap w:val="0"/>
        <w:jc w:val="center"/>
        <w:rPr>
          <w:b/>
          <w:bCs/>
          <w:sz w:val="36"/>
          <w:szCs w:val="36"/>
        </w:rPr>
      </w:pPr>
    </w:p>
    <w:p>
      <w:pPr>
        <w:wordWrap w:val="0"/>
        <w:jc w:val="center"/>
        <w:rPr>
          <w:b/>
          <w:bCs/>
          <w:sz w:val="36"/>
          <w:szCs w:val="36"/>
        </w:rPr>
      </w:pPr>
    </w:p>
    <w:p>
      <w:pPr>
        <w:wordWrap w:val="0"/>
        <w:jc w:val="center"/>
        <w:rPr>
          <w:b/>
          <w:bCs/>
          <w:sz w:val="36"/>
          <w:szCs w:val="36"/>
        </w:rPr>
      </w:pPr>
      <w:r>
        <w:rPr>
          <w:rFonts w:hint="eastAsia"/>
          <w:b/>
          <w:bCs/>
          <w:sz w:val="36"/>
          <w:szCs w:val="36"/>
        </w:rPr>
        <w:t>深圳市房屋租赁管理办公室制</w:t>
      </w:r>
    </w:p>
    <w:p>
      <w:pPr>
        <w:wordWrap w:val="0"/>
        <w:jc w:val="center"/>
        <w:rPr>
          <w:rFonts w:ascii="仿宋_GB2312" w:eastAsia="仿宋_GB2312"/>
          <w:b/>
          <w:bCs/>
          <w:sz w:val="44"/>
          <w:szCs w:val="44"/>
        </w:rPr>
      </w:pPr>
    </w:p>
    <w:p>
      <w:pPr>
        <w:wordWrap w:val="0"/>
        <w:rPr>
          <w:rFonts w:ascii="仿宋_GB2312" w:eastAsia="仿宋_GB2312" w:cs="仿宋_GB2312"/>
          <w:b/>
          <w:bCs/>
          <w:sz w:val="36"/>
          <w:szCs w:val="36"/>
        </w:rPr>
      </w:pPr>
    </w:p>
    <w:p>
      <w:pPr>
        <w:wordWrap w:val="0"/>
        <w:spacing w:line="560" w:lineRule="exact"/>
        <w:jc w:val="center"/>
        <w:rPr>
          <w:rFonts w:cs="仿宋_GB2312"/>
          <w:b/>
          <w:bCs/>
          <w:sz w:val="36"/>
          <w:szCs w:val="36"/>
        </w:rPr>
      </w:pPr>
      <w:r>
        <w:rPr>
          <w:rFonts w:hint="eastAsia" w:cs="仿宋_GB2312"/>
          <w:b/>
          <w:bCs/>
          <w:sz w:val="36"/>
          <w:szCs w:val="36"/>
        </w:rPr>
        <w:t>房屋租赁登记备案须知</w:t>
      </w:r>
    </w:p>
    <w:p>
      <w:pPr>
        <w:wordWrap w:val="0"/>
        <w:spacing w:line="560" w:lineRule="exact"/>
        <w:jc w:val="center"/>
        <w:rPr>
          <w:rFonts w:cs="仿宋_GB2312"/>
          <w:b/>
          <w:bCs/>
          <w:sz w:val="36"/>
          <w:szCs w:val="36"/>
        </w:rPr>
      </w:pPr>
    </w:p>
    <w:p>
      <w:r>
        <w:rPr>
          <w:rFonts w:hint="eastAsia"/>
        </w:rPr>
        <w:t>一、办理房屋租赁登记备案需提交的资料：</w:t>
      </w:r>
    </w:p>
    <w:p>
      <w:pPr>
        <w:wordWrap w:val="0"/>
        <w:spacing w:line="560" w:lineRule="exact"/>
        <w:ind w:firstLine="220" w:firstLineChars="100"/>
      </w:pPr>
      <w:r>
        <w:rPr>
          <w:rFonts w:hint="eastAsia" w:cs="仿宋_GB2312"/>
        </w:rPr>
        <w:t>（一）房地产权利证书或者证明其产权（使用权）的其他有效证件（提供原件并留复印件）</w:t>
      </w:r>
    </w:p>
    <w:p>
      <w:pPr>
        <w:wordWrap w:val="0"/>
        <w:spacing w:line="560" w:lineRule="exact"/>
        <w:ind w:firstLine="220" w:firstLineChars="100"/>
      </w:pPr>
      <w:r>
        <w:rPr>
          <w:rFonts w:hint="eastAsia" w:cs="仿宋_GB2312"/>
        </w:rPr>
        <w:t>（二）出租人、承租人身份证明或者法律资格证明，包括：</w:t>
      </w:r>
    </w:p>
    <w:p>
      <w:pPr>
        <w:wordWrap w:val="0"/>
        <w:spacing w:line="560" w:lineRule="exact"/>
        <w:ind w:firstLine="440" w:firstLineChars="200"/>
        <w:rPr>
          <w:rFonts w:cs="仿宋_GB2312"/>
        </w:rPr>
      </w:pPr>
      <w:r>
        <w:rPr>
          <w:rFonts w:hint="eastAsia" w:cs="仿宋_GB2312"/>
        </w:rPr>
        <w:t>1、个人</w:t>
      </w:r>
    </w:p>
    <w:p>
      <w:pPr>
        <w:wordWrap w:val="0"/>
        <w:spacing w:line="560" w:lineRule="exact"/>
        <w:ind w:firstLine="440" w:firstLineChars="200"/>
        <w:rPr>
          <w:rFonts w:cs="仿宋_GB2312"/>
        </w:rPr>
      </w:pPr>
      <w:r>
        <w:rPr>
          <w:rFonts w:hint="eastAsia" w:cs="仿宋_GB2312"/>
        </w:rPr>
        <w:t>大陆居民：身份证或其他有效身份证明。</w:t>
      </w:r>
    </w:p>
    <w:p>
      <w:pPr>
        <w:wordWrap w:val="0"/>
        <w:spacing w:line="560" w:lineRule="exact"/>
        <w:ind w:firstLine="440" w:firstLineChars="200"/>
        <w:rPr>
          <w:rFonts w:cs="仿宋_GB2312"/>
        </w:rPr>
      </w:pPr>
      <w:r>
        <w:rPr>
          <w:rFonts w:hint="eastAsia" w:cs="仿宋_GB2312"/>
        </w:rPr>
        <w:t>港澳台居民：</w:t>
      </w:r>
      <w:r>
        <w:rPr>
          <w:rFonts w:hint="eastAsia"/>
        </w:rPr>
        <w:t>港澳居民来往内地通行证、台湾居民来往大陆通行证</w:t>
      </w:r>
      <w:r>
        <w:rPr>
          <w:rFonts w:hint="eastAsia" w:cs="仿宋_GB2312"/>
        </w:rPr>
        <w:t>。</w:t>
      </w:r>
    </w:p>
    <w:p>
      <w:pPr>
        <w:wordWrap w:val="0"/>
        <w:spacing w:line="560" w:lineRule="exact"/>
        <w:ind w:firstLine="440" w:firstLineChars="200"/>
      </w:pPr>
      <w:r>
        <w:rPr>
          <w:rFonts w:hint="eastAsia"/>
        </w:rPr>
        <w:t>境外人士：护照（有居留许可或入境签证）。</w:t>
      </w:r>
    </w:p>
    <w:p>
      <w:pPr>
        <w:wordWrap w:val="0"/>
        <w:spacing w:line="560" w:lineRule="exact"/>
        <w:ind w:firstLine="440" w:firstLineChars="200"/>
        <w:rPr>
          <w:rFonts w:cs="仿宋_GB2312"/>
        </w:rPr>
      </w:pPr>
      <w:r>
        <w:rPr>
          <w:rFonts w:hint="eastAsia"/>
        </w:rPr>
        <w:t>以上证件，均需</w:t>
      </w:r>
      <w:r>
        <w:rPr>
          <w:rFonts w:hint="eastAsia" w:cs="仿宋_GB2312"/>
        </w:rPr>
        <w:t>提供原件并留复印件。</w:t>
      </w:r>
    </w:p>
    <w:p>
      <w:pPr>
        <w:wordWrap w:val="0"/>
        <w:spacing w:line="560" w:lineRule="exact"/>
      </w:pPr>
      <w:r>
        <w:rPr>
          <w:rFonts w:hint="eastAsia" w:cs="仿宋_GB2312"/>
        </w:rPr>
        <w:t xml:space="preserve">    2、单位</w:t>
      </w:r>
    </w:p>
    <w:p>
      <w:pPr>
        <w:wordWrap w:val="0"/>
        <w:spacing w:line="560" w:lineRule="exact"/>
        <w:rPr>
          <w:rFonts w:cs="仿宋_GB2312"/>
        </w:rPr>
      </w:pPr>
      <w:r>
        <w:rPr>
          <w:rFonts w:hint="eastAsia" w:cs="仿宋_GB2312"/>
        </w:rPr>
        <w:t xml:space="preserve">    营业执照（社会信用代码）、部队证件、境外企业合法开业证明（提供原件并留复印件）。境外企业合法开业证明须附中文译本，未经中国相关职能部门认证的，需经使领馆公证或认证。</w:t>
      </w:r>
    </w:p>
    <w:p>
      <w:pPr>
        <w:wordWrap w:val="0"/>
        <w:spacing w:line="560" w:lineRule="exact"/>
        <w:ind w:firstLine="440" w:firstLineChars="200"/>
        <w:rPr>
          <w:rFonts w:cs="仿宋_GB2312"/>
        </w:rPr>
      </w:pPr>
      <w:r>
        <w:rPr>
          <w:rFonts w:hint="eastAsia" w:cs="仿宋_GB2312"/>
        </w:rPr>
        <w:t>（三） 共有房屋出租的，须提供所有共有人同意出租证明。</w:t>
      </w:r>
    </w:p>
    <w:p>
      <w:pPr>
        <w:wordWrap w:val="0"/>
        <w:spacing w:line="560" w:lineRule="exact"/>
        <w:ind w:firstLine="440" w:firstLineChars="200"/>
        <w:rPr>
          <w:rFonts w:cs="仿宋_GB2312"/>
        </w:rPr>
      </w:pPr>
      <w:r>
        <w:rPr>
          <w:rFonts w:hint="eastAsia" w:cs="仿宋_GB2312"/>
        </w:rPr>
        <w:t>（四） 授权委托</w:t>
      </w:r>
    </w:p>
    <w:p>
      <w:pPr>
        <w:wordWrap w:val="0"/>
        <w:spacing w:line="560" w:lineRule="exact"/>
        <w:ind w:firstLine="440" w:firstLineChars="200"/>
        <w:rPr>
          <w:rFonts w:cs="仿宋_GB2312"/>
        </w:rPr>
      </w:pPr>
      <w:r>
        <w:rPr>
          <w:rFonts w:hint="eastAsia" w:cs="仿宋_GB2312"/>
        </w:rPr>
        <w:t>1.产权为个人：</w:t>
      </w:r>
      <w:r>
        <w:rPr>
          <w:rFonts w:hint="eastAsia"/>
        </w:rPr>
        <w:t>须出具委托人和委托代理人的有效身份证件（查验原件，留存复印件）和授权委托书（原件），委托人须在授权委托书上载明委托事项和签署地；若无法取得委托人的身份证件原件的，须出具经委托人签字确认的身份证复印件。当事人在境外签署的委托书应按规定经过公证和认证</w:t>
      </w:r>
      <w:r>
        <w:rPr>
          <w:rFonts w:hint="eastAsia" w:cs="仿宋_GB2312"/>
        </w:rPr>
        <w:t>。</w:t>
      </w:r>
    </w:p>
    <w:p>
      <w:pPr>
        <w:wordWrap w:val="0"/>
        <w:spacing w:line="560" w:lineRule="exact"/>
        <w:ind w:firstLine="440" w:firstLineChars="200"/>
        <w:rPr>
          <w:rFonts w:cs="仿宋_GB2312"/>
        </w:rPr>
      </w:pPr>
      <w:r>
        <w:rPr>
          <w:rFonts w:hint="eastAsia" w:cs="仿宋_GB2312"/>
        </w:rPr>
        <w:t>2.产权为单位：</w:t>
      </w:r>
      <w:r>
        <w:rPr>
          <w:rFonts w:hint="eastAsia"/>
        </w:rPr>
        <w:t>经办人非法定代表人或负责人的，还须出具法定代表人或负责人的授权委托书（原件），委托人须在授权委托书上载明委托事项和签署地。当事人在境外签署的委托书应按规定经过公证和认证。</w:t>
      </w:r>
    </w:p>
    <w:p>
      <w:pPr>
        <w:wordWrap w:val="0"/>
        <w:spacing w:line="560" w:lineRule="exact"/>
        <w:rPr>
          <w:rFonts w:ascii="仿宋_GB2312" w:eastAsia="仿宋_GB2312"/>
        </w:rPr>
      </w:pPr>
      <w:r>
        <w:rPr>
          <w:rFonts w:hint="eastAsia" w:cs="仿宋_GB2312"/>
        </w:rPr>
        <w:t xml:space="preserve">    （五）房屋租赁合同。</w:t>
      </w:r>
    </w:p>
    <w:p>
      <w:pPr>
        <w:wordWrap w:val="0"/>
        <w:spacing w:line="560" w:lineRule="exact"/>
        <w:ind w:firstLine="645"/>
        <w:rPr>
          <w:rFonts w:ascii="仿宋_GB2312" w:eastAsia="仿宋_GB2312" w:cs="仿宋_GB2312"/>
        </w:rPr>
      </w:pPr>
    </w:p>
    <w:p>
      <w:pPr>
        <w:wordWrap w:val="0"/>
        <w:spacing w:line="460" w:lineRule="atLeast"/>
        <w:ind w:firstLine="645"/>
        <w:rPr>
          <w:rFonts w:ascii="仿宋_GB2312" w:eastAsia="仿宋_GB2312"/>
        </w:rPr>
      </w:pPr>
    </w:p>
    <w:p>
      <w:pPr>
        <w:wordWrap w:val="0"/>
        <w:spacing w:line="460" w:lineRule="atLeast"/>
        <w:ind w:firstLine="645"/>
        <w:jc w:val="center"/>
        <w:rPr>
          <w:rFonts w:ascii="仿宋_GB2312" w:eastAsia="仿宋_GB2312" w:cs="仿宋_GB2312"/>
          <w:b/>
          <w:bCs/>
          <w:sz w:val="52"/>
          <w:szCs w:val="52"/>
        </w:rPr>
      </w:pPr>
    </w:p>
    <w:p>
      <w:pPr>
        <w:wordWrap w:val="0"/>
        <w:spacing w:line="460" w:lineRule="atLeast"/>
        <w:ind w:firstLine="645"/>
        <w:jc w:val="center"/>
        <w:rPr>
          <w:b/>
          <w:bCs/>
          <w:sz w:val="52"/>
          <w:szCs w:val="52"/>
        </w:rPr>
      </w:pPr>
      <w:r>
        <w:rPr>
          <w:rFonts w:hint="eastAsia" w:cs="仿宋_GB2312"/>
          <w:b/>
          <w:bCs/>
          <w:sz w:val="52"/>
          <w:szCs w:val="52"/>
        </w:rPr>
        <w:t>房屋租赁合同</w:t>
      </w:r>
    </w:p>
    <w:p>
      <w:pPr>
        <w:wordWrap w:val="0"/>
        <w:jc w:val="center"/>
        <w:rPr>
          <w:rFonts w:ascii="仿宋_GB2312" w:eastAsia="仿宋_GB2312"/>
          <w:b/>
          <w:bCs/>
          <w:sz w:val="52"/>
          <w:szCs w:val="52"/>
        </w:rPr>
      </w:pPr>
    </w:p>
    <w:p>
      <w:pPr>
        <w:wordWrap w:val="0"/>
        <w:snapToGrid w:val="0"/>
        <w:spacing w:line="300" w:lineRule="auto"/>
        <w:ind w:firstLine="280" w:firstLineChars="100"/>
        <w:rPr>
          <w:rFonts w:cs="仿宋_GB2312"/>
          <w:sz w:val="28"/>
          <w:szCs w:val="28"/>
          <w:u w:val="single"/>
        </w:rPr>
      </w:pPr>
      <w:r>
        <w:rPr>
          <w:rFonts w:hint="eastAsia" w:cs="仿宋_GB2312"/>
          <w:sz w:val="28"/>
          <w:szCs w:val="28"/>
        </w:rPr>
        <w:t>出租方（甲方）：</w:t>
      </w:r>
      <w:r>
        <w:rPr>
          <w:rFonts w:hint="eastAsia" w:cs="仿宋_GB2312"/>
          <w:sz w:val="28"/>
          <w:szCs w:val="28"/>
          <w:u w:val="single"/>
        </w:rPr>
        <w:t xml:space="preserve">                                                    </w:t>
      </w:r>
    </w:p>
    <w:p>
      <w:pPr>
        <w:wordWrap w:val="0"/>
        <w:snapToGrid w:val="0"/>
        <w:spacing w:line="300" w:lineRule="auto"/>
        <w:ind w:firstLine="280" w:firstLineChars="100"/>
        <w:rPr>
          <w:rFonts w:cs="仿宋_GB2312"/>
          <w:sz w:val="28"/>
          <w:szCs w:val="28"/>
          <w:u w:val="single"/>
        </w:rPr>
      </w:pPr>
      <w:r>
        <w:rPr>
          <w:rFonts w:hint="eastAsia" w:cs="仿宋_GB2312"/>
          <w:sz w:val="28"/>
          <w:szCs w:val="28"/>
        </w:rPr>
        <w:t>房屋信息编码卡：</w:t>
      </w:r>
      <w:r>
        <w:rPr>
          <w:rFonts w:hint="eastAsia" w:cs="仿宋_GB2312"/>
          <w:sz w:val="28"/>
          <w:szCs w:val="28"/>
          <w:u w:val="single"/>
        </w:rPr>
        <w:t xml:space="preserve">                                                    </w:t>
      </w:r>
    </w:p>
    <w:p>
      <w:pPr>
        <w:wordWrap w:val="0"/>
        <w:snapToGrid w:val="0"/>
        <w:spacing w:line="300" w:lineRule="auto"/>
        <w:ind w:firstLine="280" w:firstLineChars="100"/>
        <w:rPr>
          <w:rFonts w:cs="仿宋_GB2312"/>
          <w:sz w:val="28"/>
          <w:szCs w:val="28"/>
          <w:u w:val="single"/>
        </w:rPr>
      </w:pPr>
      <w:r>
        <w:rPr>
          <w:rFonts w:hint="eastAsia" w:cs="仿宋_GB2312"/>
          <w:sz w:val="28"/>
          <w:szCs w:val="28"/>
        </w:rPr>
        <w:t>通信地址：</w:t>
      </w:r>
      <w:r>
        <w:rPr>
          <w:rFonts w:hint="eastAsia" w:cs="仿宋_GB2312"/>
          <w:sz w:val="28"/>
          <w:szCs w:val="28"/>
          <w:u w:val="single"/>
        </w:rPr>
        <w:t xml:space="preserve">                                                          </w:t>
      </w:r>
    </w:p>
    <w:p>
      <w:pPr>
        <w:wordWrap w:val="0"/>
        <w:snapToGrid w:val="0"/>
        <w:spacing w:line="300" w:lineRule="auto"/>
        <w:ind w:firstLine="280" w:firstLineChars="100"/>
        <w:rPr>
          <w:rFonts w:cs="仿宋_GB2312"/>
          <w:sz w:val="28"/>
          <w:szCs w:val="28"/>
          <w:u w:val="single"/>
        </w:rPr>
      </w:pPr>
      <w:r>
        <w:rPr>
          <w:rFonts w:hint="eastAsia" w:cs="仿宋_GB2312"/>
          <w:sz w:val="28"/>
          <w:szCs w:val="28"/>
        </w:rPr>
        <w:t>邮   编：</w:t>
      </w:r>
      <w:r>
        <w:rPr>
          <w:rFonts w:hint="eastAsia" w:cs="仿宋_GB2312"/>
          <w:sz w:val="28"/>
          <w:szCs w:val="28"/>
          <w:u w:val="single"/>
        </w:rPr>
        <w:t xml:space="preserve">                  </w:t>
      </w:r>
      <w:r>
        <w:rPr>
          <w:rFonts w:hint="eastAsia" w:cs="仿宋_GB2312"/>
          <w:sz w:val="28"/>
          <w:szCs w:val="28"/>
        </w:rPr>
        <w:t>联系电话：</w:t>
      </w:r>
      <w:r>
        <w:rPr>
          <w:rFonts w:hint="eastAsia" w:cs="仿宋_GB2312"/>
          <w:sz w:val="28"/>
          <w:szCs w:val="28"/>
          <w:u w:val="single"/>
        </w:rPr>
        <w:t xml:space="preserve">                               </w:t>
      </w:r>
    </w:p>
    <w:p>
      <w:pPr>
        <w:wordWrap w:val="0"/>
        <w:snapToGrid w:val="0"/>
        <w:spacing w:line="300" w:lineRule="auto"/>
        <w:ind w:firstLine="280" w:firstLineChars="100"/>
        <w:rPr>
          <w:rFonts w:cs="仿宋_GB2312"/>
          <w:sz w:val="28"/>
          <w:szCs w:val="28"/>
          <w:u w:val="single"/>
        </w:rPr>
      </w:pPr>
      <w:r>
        <w:rPr>
          <w:rFonts w:hint="eastAsia" w:cs="仿宋_GB2312"/>
          <w:sz w:val="28"/>
          <w:szCs w:val="28"/>
        </w:rPr>
        <w:t>社会信用代码或有效证件号码：</w:t>
      </w:r>
      <w:r>
        <w:rPr>
          <w:rFonts w:hint="eastAsia" w:cs="仿宋_GB2312"/>
          <w:sz w:val="28"/>
          <w:szCs w:val="28"/>
          <w:u w:val="single"/>
        </w:rPr>
        <w:t xml:space="preserve">                                        </w:t>
      </w:r>
    </w:p>
    <w:p>
      <w:pPr>
        <w:wordWrap w:val="0"/>
        <w:snapToGrid w:val="0"/>
        <w:spacing w:line="300" w:lineRule="auto"/>
        <w:ind w:firstLine="280" w:firstLineChars="100"/>
        <w:rPr>
          <w:rFonts w:cs="仿宋_GB2312"/>
          <w:sz w:val="28"/>
          <w:szCs w:val="28"/>
          <w:u w:val="single"/>
        </w:rPr>
      </w:pPr>
      <w:r>
        <w:rPr>
          <w:rFonts w:hint="eastAsia" w:cs="仿宋_GB2312"/>
          <w:sz w:val="28"/>
          <w:szCs w:val="28"/>
        </w:rPr>
        <w:t>委托代理人：</w:t>
      </w:r>
      <w:r>
        <w:rPr>
          <w:rFonts w:hint="eastAsia" w:cs="仿宋_GB2312"/>
          <w:sz w:val="28"/>
          <w:szCs w:val="28"/>
          <w:u w:val="single"/>
        </w:rPr>
        <w:t xml:space="preserve">                                                        </w:t>
      </w:r>
    </w:p>
    <w:p>
      <w:pPr>
        <w:wordWrap w:val="0"/>
        <w:snapToGrid w:val="0"/>
        <w:spacing w:line="300" w:lineRule="auto"/>
        <w:ind w:firstLine="280" w:firstLineChars="100"/>
        <w:rPr>
          <w:rFonts w:cs="仿宋_GB2312"/>
          <w:sz w:val="28"/>
          <w:szCs w:val="28"/>
          <w:u w:val="single"/>
        </w:rPr>
      </w:pPr>
      <w:r>
        <w:rPr>
          <w:rFonts w:hint="eastAsia" w:cs="仿宋_GB2312"/>
          <w:sz w:val="28"/>
          <w:szCs w:val="28"/>
        </w:rPr>
        <w:t>通信地址：</w:t>
      </w:r>
      <w:r>
        <w:rPr>
          <w:rFonts w:hint="eastAsia" w:cs="仿宋_GB2312"/>
          <w:sz w:val="28"/>
          <w:szCs w:val="28"/>
          <w:u w:val="single"/>
        </w:rPr>
        <w:t xml:space="preserve">                                                          </w:t>
      </w:r>
    </w:p>
    <w:p>
      <w:pPr>
        <w:wordWrap w:val="0"/>
        <w:snapToGrid w:val="0"/>
        <w:spacing w:line="300" w:lineRule="auto"/>
        <w:ind w:firstLine="280" w:firstLineChars="100"/>
        <w:rPr>
          <w:rFonts w:cs="仿宋_GB2312"/>
          <w:sz w:val="28"/>
          <w:szCs w:val="28"/>
          <w:u w:val="single"/>
        </w:rPr>
      </w:pPr>
      <w:r>
        <w:rPr>
          <w:rFonts w:hint="eastAsia" w:cs="仿宋_GB2312"/>
          <w:sz w:val="28"/>
          <w:szCs w:val="28"/>
        </w:rPr>
        <w:t>邮   编：</w:t>
      </w:r>
      <w:r>
        <w:rPr>
          <w:rFonts w:hint="eastAsia" w:cs="仿宋_GB2312"/>
          <w:sz w:val="28"/>
          <w:szCs w:val="28"/>
          <w:u w:val="single"/>
        </w:rPr>
        <w:t xml:space="preserve">                  </w:t>
      </w:r>
      <w:r>
        <w:rPr>
          <w:rFonts w:hint="eastAsia" w:cs="仿宋_GB2312"/>
          <w:sz w:val="28"/>
          <w:szCs w:val="28"/>
        </w:rPr>
        <w:t>联系电话：</w:t>
      </w:r>
      <w:r>
        <w:rPr>
          <w:rFonts w:hint="eastAsia" w:cs="仿宋_GB2312"/>
          <w:sz w:val="28"/>
          <w:szCs w:val="28"/>
          <w:u w:val="single"/>
        </w:rPr>
        <w:t xml:space="preserve">                               </w:t>
      </w:r>
    </w:p>
    <w:p>
      <w:pPr>
        <w:wordWrap w:val="0"/>
        <w:snapToGrid w:val="0"/>
        <w:spacing w:line="300" w:lineRule="auto"/>
        <w:ind w:firstLine="280" w:firstLineChars="100"/>
        <w:rPr>
          <w:sz w:val="28"/>
          <w:szCs w:val="28"/>
        </w:rPr>
      </w:pPr>
      <w:r>
        <w:rPr>
          <w:rFonts w:hint="eastAsia" w:cs="仿宋_GB2312"/>
          <w:sz w:val="28"/>
          <w:szCs w:val="28"/>
        </w:rPr>
        <w:t>社会信用代码或有效证件号码：</w:t>
      </w:r>
      <w:r>
        <w:rPr>
          <w:rFonts w:hint="eastAsia" w:cs="仿宋_GB2312"/>
          <w:sz w:val="28"/>
          <w:szCs w:val="28"/>
          <w:u w:val="single"/>
        </w:rPr>
        <w:t xml:space="preserve">                                        </w:t>
      </w:r>
    </w:p>
    <w:p>
      <w:pPr>
        <w:wordWrap w:val="0"/>
        <w:snapToGrid w:val="0"/>
        <w:spacing w:line="700" w:lineRule="exact"/>
        <w:ind w:firstLine="280" w:firstLineChars="100"/>
        <w:rPr>
          <w:rFonts w:cs="仿宋_GB2312"/>
          <w:sz w:val="28"/>
          <w:szCs w:val="28"/>
        </w:rPr>
      </w:pPr>
    </w:p>
    <w:p>
      <w:pPr>
        <w:wordWrap w:val="0"/>
        <w:snapToGrid w:val="0"/>
        <w:spacing w:line="300" w:lineRule="auto"/>
        <w:ind w:firstLine="280" w:firstLineChars="100"/>
        <w:rPr>
          <w:rFonts w:cs="仿宋_GB2312"/>
          <w:sz w:val="28"/>
          <w:szCs w:val="28"/>
          <w:u w:val="single"/>
        </w:rPr>
      </w:pPr>
      <w:r>
        <w:rPr>
          <w:rFonts w:hint="eastAsia" w:cs="仿宋_GB2312"/>
          <w:sz w:val="28"/>
          <w:szCs w:val="28"/>
        </w:rPr>
        <w:t>承租方（乙方）：</w:t>
      </w:r>
      <w:r>
        <w:rPr>
          <w:rFonts w:hint="eastAsia" w:cs="仿宋_GB2312"/>
          <w:sz w:val="28"/>
          <w:szCs w:val="28"/>
          <w:u w:val="single"/>
        </w:rPr>
        <w:t xml:space="preserve">                                                    </w:t>
      </w:r>
    </w:p>
    <w:p>
      <w:pPr>
        <w:wordWrap w:val="0"/>
        <w:snapToGrid w:val="0"/>
        <w:spacing w:line="300" w:lineRule="auto"/>
        <w:ind w:firstLine="280" w:firstLineChars="100"/>
        <w:rPr>
          <w:rFonts w:cs="仿宋_GB2312"/>
          <w:sz w:val="28"/>
          <w:szCs w:val="28"/>
          <w:u w:val="single"/>
        </w:rPr>
      </w:pPr>
      <w:r>
        <w:rPr>
          <w:rFonts w:hint="eastAsia" w:cs="仿宋_GB2312"/>
          <w:sz w:val="28"/>
          <w:szCs w:val="28"/>
        </w:rPr>
        <w:t>通信地址：</w:t>
      </w:r>
      <w:r>
        <w:rPr>
          <w:rFonts w:hint="eastAsia" w:cs="仿宋_GB2312"/>
          <w:sz w:val="28"/>
          <w:szCs w:val="28"/>
          <w:u w:val="single"/>
        </w:rPr>
        <w:t xml:space="preserve">                                                          </w:t>
      </w:r>
    </w:p>
    <w:p>
      <w:pPr>
        <w:wordWrap w:val="0"/>
        <w:snapToGrid w:val="0"/>
        <w:spacing w:line="300" w:lineRule="auto"/>
        <w:ind w:firstLine="280" w:firstLineChars="100"/>
        <w:rPr>
          <w:rFonts w:cs="仿宋_GB2312"/>
          <w:sz w:val="28"/>
          <w:szCs w:val="28"/>
          <w:u w:val="single"/>
        </w:rPr>
      </w:pPr>
      <w:r>
        <w:rPr>
          <w:rFonts w:hint="eastAsia" w:cs="仿宋_GB2312"/>
          <w:sz w:val="28"/>
          <w:szCs w:val="28"/>
        </w:rPr>
        <w:t>邮   编：</w:t>
      </w:r>
      <w:r>
        <w:rPr>
          <w:rFonts w:hint="eastAsia" w:cs="仿宋_GB2312"/>
          <w:sz w:val="28"/>
          <w:szCs w:val="28"/>
          <w:u w:val="single"/>
        </w:rPr>
        <w:t xml:space="preserve">                  </w:t>
      </w:r>
      <w:r>
        <w:rPr>
          <w:rFonts w:hint="eastAsia" w:cs="仿宋_GB2312"/>
          <w:sz w:val="28"/>
          <w:szCs w:val="28"/>
        </w:rPr>
        <w:t>联系电话：</w:t>
      </w:r>
      <w:r>
        <w:rPr>
          <w:rFonts w:hint="eastAsia" w:cs="仿宋_GB2312"/>
          <w:sz w:val="28"/>
          <w:szCs w:val="28"/>
          <w:u w:val="single"/>
        </w:rPr>
        <w:t xml:space="preserve">                               </w:t>
      </w:r>
    </w:p>
    <w:p>
      <w:pPr>
        <w:wordWrap w:val="0"/>
        <w:snapToGrid w:val="0"/>
        <w:spacing w:line="300" w:lineRule="auto"/>
        <w:ind w:firstLine="280" w:firstLineChars="100"/>
        <w:rPr>
          <w:rFonts w:cs="仿宋_GB2312"/>
          <w:sz w:val="28"/>
          <w:szCs w:val="28"/>
          <w:u w:val="single"/>
        </w:rPr>
      </w:pPr>
      <w:r>
        <w:rPr>
          <w:rFonts w:hint="eastAsia" w:cs="仿宋_GB2312"/>
          <w:sz w:val="28"/>
          <w:szCs w:val="28"/>
        </w:rPr>
        <w:t>社会信用代码或有效证件号码：</w:t>
      </w:r>
      <w:r>
        <w:rPr>
          <w:rFonts w:hint="eastAsia" w:cs="仿宋_GB2312"/>
          <w:sz w:val="28"/>
          <w:szCs w:val="28"/>
          <w:u w:val="single"/>
        </w:rPr>
        <w:t xml:space="preserve">                                        </w:t>
      </w:r>
    </w:p>
    <w:p>
      <w:pPr>
        <w:wordWrap w:val="0"/>
        <w:snapToGrid w:val="0"/>
        <w:spacing w:line="300" w:lineRule="auto"/>
        <w:ind w:firstLine="280" w:firstLineChars="100"/>
        <w:rPr>
          <w:rFonts w:cs="仿宋_GB2312"/>
          <w:sz w:val="28"/>
          <w:szCs w:val="28"/>
          <w:u w:val="single"/>
        </w:rPr>
      </w:pPr>
      <w:r>
        <w:rPr>
          <w:rFonts w:hint="eastAsia" w:cs="仿宋_GB2312"/>
          <w:sz w:val="28"/>
          <w:szCs w:val="28"/>
        </w:rPr>
        <w:t>委托代理人：</w:t>
      </w:r>
      <w:r>
        <w:rPr>
          <w:rFonts w:hint="eastAsia" w:cs="仿宋_GB2312"/>
          <w:sz w:val="28"/>
          <w:szCs w:val="28"/>
          <w:u w:val="single"/>
        </w:rPr>
        <w:t xml:space="preserve">                                                        </w:t>
      </w:r>
    </w:p>
    <w:p>
      <w:pPr>
        <w:wordWrap w:val="0"/>
        <w:snapToGrid w:val="0"/>
        <w:spacing w:line="300" w:lineRule="auto"/>
        <w:ind w:firstLine="280" w:firstLineChars="100"/>
        <w:rPr>
          <w:rFonts w:cs="仿宋_GB2312"/>
          <w:sz w:val="28"/>
          <w:szCs w:val="28"/>
          <w:u w:val="single"/>
        </w:rPr>
      </w:pPr>
      <w:r>
        <w:rPr>
          <w:rFonts w:hint="eastAsia" w:cs="仿宋_GB2312"/>
          <w:sz w:val="28"/>
          <w:szCs w:val="28"/>
        </w:rPr>
        <w:t>通信地址：</w:t>
      </w:r>
      <w:r>
        <w:rPr>
          <w:rFonts w:hint="eastAsia" w:cs="仿宋_GB2312"/>
          <w:sz w:val="28"/>
          <w:szCs w:val="28"/>
          <w:u w:val="single"/>
        </w:rPr>
        <w:t xml:space="preserve">                                                          </w:t>
      </w:r>
    </w:p>
    <w:p>
      <w:pPr>
        <w:wordWrap w:val="0"/>
        <w:snapToGrid w:val="0"/>
        <w:spacing w:line="300" w:lineRule="auto"/>
        <w:ind w:firstLine="280" w:firstLineChars="100"/>
        <w:rPr>
          <w:rFonts w:cs="仿宋_GB2312"/>
          <w:sz w:val="28"/>
          <w:szCs w:val="28"/>
          <w:u w:val="single"/>
        </w:rPr>
      </w:pPr>
      <w:r>
        <w:rPr>
          <w:rFonts w:hint="eastAsia" w:cs="仿宋_GB2312"/>
          <w:sz w:val="28"/>
          <w:szCs w:val="28"/>
        </w:rPr>
        <w:t>邮   编：</w:t>
      </w:r>
      <w:r>
        <w:rPr>
          <w:rFonts w:hint="eastAsia" w:cs="仿宋_GB2312"/>
          <w:sz w:val="28"/>
          <w:szCs w:val="28"/>
          <w:u w:val="single"/>
        </w:rPr>
        <w:t xml:space="preserve">                  </w:t>
      </w:r>
      <w:r>
        <w:rPr>
          <w:rFonts w:hint="eastAsia" w:cs="仿宋_GB2312"/>
          <w:sz w:val="28"/>
          <w:szCs w:val="28"/>
        </w:rPr>
        <w:t>联系电话：</w:t>
      </w:r>
      <w:r>
        <w:rPr>
          <w:rFonts w:hint="eastAsia" w:cs="仿宋_GB2312"/>
          <w:sz w:val="28"/>
          <w:szCs w:val="28"/>
          <w:u w:val="single"/>
        </w:rPr>
        <w:t xml:space="preserve">                               </w:t>
      </w:r>
    </w:p>
    <w:p>
      <w:pPr>
        <w:wordWrap w:val="0"/>
        <w:snapToGrid w:val="0"/>
        <w:spacing w:line="300" w:lineRule="auto"/>
        <w:ind w:firstLine="280" w:firstLineChars="100"/>
        <w:rPr>
          <w:rFonts w:cs="仿宋_GB2312"/>
          <w:sz w:val="28"/>
          <w:szCs w:val="28"/>
          <w:u w:val="single"/>
        </w:rPr>
      </w:pPr>
      <w:r>
        <w:rPr>
          <w:rFonts w:hint="eastAsia" w:cs="仿宋_GB2312"/>
          <w:sz w:val="28"/>
          <w:szCs w:val="28"/>
        </w:rPr>
        <w:t>社会信用代码或有效证件号码：</w:t>
      </w:r>
      <w:r>
        <w:rPr>
          <w:rFonts w:hint="eastAsia" w:cs="仿宋_GB2312"/>
          <w:sz w:val="28"/>
          <w:szCs w:val="28"/>
          <w:u w:val="single"/>
        </w:rPr>
        <w:t xml:space="preserve">                                        </w:t>
      </w:r>
    </w:p>
    <w:p>
      <w:pPr>
        <w:wordWrap w:val="0"/>
        <w:rPr>
          <w:sz w:val="28"/>
          <w:szCs w:val="28"/>
        </w:rPr>
      </w:pPr>
    </w:p>
    <w:p>
      <w:pPr>
        <w:wordWrap w:val="0"/>
        <w:spacing w:line="480" w:lineRule="exact"/>
        <w:rPr>
          <w:sz w:val="28"/>
          <w:szCs w:val="28"/>
        </w:rPr>
      </w:pPr>
      <w:r>
        <w:rPr>
          <w:rFonts w:hint="eastAsia" w:cs="仿宋_GB2312"/>
          <w:sz w:val="28"/>
          <w:szCs w:val="28"/>
        </w:rPr>
        <w:t xml:space="preserve">    依据《中华人民共和国合同法》、《中华人民共和国城市房地产管理法》、《商品房屋租赁管理办法》、《深圳市人民代表大会常务委员会关于加强房屋租赁安全责任的决定》的规定，经甲、乙双方协商一致，订立本合同。</w:t>
      </w:r>
    </w:p>
    <w:p>
      <w:pPr>
        <w:wordWrap w:val="0"/>
        <w:spacing w:line="480" w:lineRule="exact"/>
        <w:ind w:firstLine="562" w:firstLineChars="200"/>
        <w:rPr>
          <w:sz w:val="28"/>
          <w:szCs w:val="28"/>
          <w:u w:val="single"/>
        </w:rPr>
      </w:pPr>
      <w:r>
        <w:rPr>
          <w:rFonts w:hint="eastAsia" w:cs="仿宋_GB2312"/>
          <w:b/>
          <w:bCs/>
          <w:sz w:val="28"/>
          <w:szCs w:val="28"/>
        </w:rPr>
        <w:t>第一条</w:t>
      </w:r>
      <w:r>
        <w:rPr>
          <w:rFonts w:hint="eastAsia" w:cs="仿宋_GB2312"/>
          <w:sz w:val="28"/>
          <w:szCs w:val="28"/>
        </w:rPr>
        <w:t xml:space="preserve">  甲方将位于深圳市</w:t>
      </w:r>
      <w:r>
        <w:rPr>
          <w:rFonts w:hint="eastAsia" w:cs="仿宋_GB2312"/>
          <w:sz w:val="28"/>
          <w:szCs w:val="28"/>
          <w:u w:val="single"/>
        </w:rPr>
        <w:t xml:space="preserve">        </w:t>
      </w:r>
      <w:r>
        <w:rPr>
          <w:rFonts w:hint="eastAsia" w:cs="仿宋_GB2312"/>
          <w:sz w:val="28"/>
          <w:szCs w:val="28"/>
        </w:rPr>
        <w:t>区</w:t>
      </w:r>
      <w:r>
        <w:rPr>
          <w:rFonts w:hint="eastAsia" w:cs="仿宋_GB2312"/>
          <w:sz w:val="28"/>
          <w:szCs w:val="28"/>
          <w:u w:val="single"/>
        </w:rPr>
        <w:t xml:space="preserve">                               </w:t>
      </w:r>
    </w:p>
    <w:p>
      <w:pPr>
        <w:wordWrap w:val="0"/>
        <w:spacing w:line="480" w:lineRule="exact"/>
        <w:rPr>
          <w:rFonts w:cs="仿宋_GB2312"/>
          <w:sz w:val="28"/>
          <w:szCs w:val="28"/>
        </w:rPr>
      </w:pPr>
      <w:r>
        <w:rPr>
          <w:rFonts w:hint="eastAsia" w:cs="仿宋_GB2312"/>
          <w:sz w:val="28"/>
          <w:szCs w:val="28"/>
        </w:rPr>
        <w:t>的房屋（以下简称租赁房屋）出租给乙方使用。</w:t>
      </w:r>
    </w:p>
    <w:p>
      <w:pPr>
        <w:wordWrap w:val="0"/>
        <w:spacing w:line="480" w:lineRule="exact"/>
        <w:ind w:firstLine="560" w:firstLineChars="200"/>
        <w:rPr>
          <w:sz w:val="28"/>
          <w:szCs w:val="28"/>
        </w:rPr>
      </w:pPr>
      <w:r>
        <w:rPr>
          <w:rFonts w:hint="eastAsia" w:cs="仿宋_GB2312"/>
          <w:sz w:val="28"/>
          <w:szCs w:val="28"/>
        </w:rPr>
        <w:t>租赁房屋出租面积共计</w:t>
      </w:r>
      <w:r>
        <w:rPr>
          <w:rFonts w:hint="eastAsia" w:cs="仿宋_GB2312"/>
          <w:sz w:val="28"/>
          <w:szCs w:val="28"/>
          <w:u w:val="single"/>
        </w:rPr>
        <w:t xml:space="preserve">         </w:t>
      </w:r>
      <w:r>
        <w:rPr>
          <w:rFonts w:hint="eastAsia" w:cs="仿宋_GB2312"/>
          <w:sz w:val="28"/>
          <w:szCs w:val="28"/>
        </w:rPr>
        <w:t>平方米。产权人或合法使用人为</w:t>
      </w:r>
      <w:r>
        <w:rPr>
          <w:rFonts w:hint="eastAsia" w:cs="仿宋_GB2312"/>
          <w:sz w:val="28"/>
          <w:szCs w:val="28"/>
          <w:u w:val="single"/>
        </w:rPr>
        <w:t xml:space="preserve">                  </w:t>
      </w:r>
      <w:r>
        <w:rPr>
          <w:rFonts w:hint="eastAsia" w:cs="仿宋_GB2312"/>
          <w:sz w:val="28"/>
          <w:szCs w:val="28"/>
        </w:rPr>
        <w:t>;房地产权利证书或者证明其产权（使用权）的其他有效证件名称及号码:</w:t>
      </w:r>
      <w:r>
        <w:rPr>
          <w:rFonts w:hint="eastAsia" w:cs="仿宋_GB2312"/>
          <w:sz w:val="28"/>
          <w:szCs w:val="28"/>
          <w:u w:val="single"/>
        </w:rPr>
        <w:t xml:space="preserve">                                  </w:t>
      </w:r>
      <w:r>
        <w:rPr>
          <w:rFonts w:hint="eastAsia" w:cs="仿宋_GB2312"/>
          <w:sz w:val="28"/>
          <w:szCs w:val="28"/>
        </w:rPr>
        <w:t>。</w:t>
      </w:r>
    </w:p>
    <w:p>
      <w:pPr>
        <w:wordWrap w:val="0"/>
        <w:spacing w:line="480" w:lineRule="exact"/>
        <w:ind w:firstLine="562" w:firstLineChars="200"/>
        <w:rPr>
          <w:rFonts w:cs="仿宋_GB2312"/>
          <w:sz w:val="28"/>
          <w:szCs w:val="28"/>
        </w:rPr>
      </w:pPr>
      <w:r>
        <w:rPr>
          <w:rFonts w:hint="eastAsia" w:cs="仿宋_GB2312"/>
          <w:b/>
          <w:bCs/>
          <w:sz w:val="28"/>
          <w:szCs w:val="28"/>
        </w:rPr>
        <w:t>第二条</w:t>
      </w:r>
      <w:r>
        <w:rPr>
          <w:rFonts w:hint="eastAsia" w:cs="仿宋_GB2312"/>
          <w:sz w:val="28"/>
          <w:szCs w:val="28"/>
        </w:rPr>
        <w:t xml:space="preserve">  租赁房屋的单位租金按房屋出租面积每平方米每月人民币</w:t>
      </w:r>
      <w:r>
        <w:rPr>
          <w:rFonts w:hint="eastAsia" w:cs="仿宋_GB2312"/>
          <w:sz w:val="28"/>
          <w:szCs w:val="28"/>
          <w:u w:val="single"/>
        </w:rPr>
        <w:t xml:space="preserve">     </w:t>
      </w:r>
      <w:r>
        <w:rPr>
          <w:rFonts w:hint="eastAsia" w:cs="仿宋_GB2312"/>
          <w:sz w:val="28"/>
          <w:szCs w:val="28"/>
        </w:rPr>
        <w:t>元（大写：</w:t>
      </w:r>
      <w:r>
        <w:rPr>
          <w:rFonts w:hint="eastAsia" w:cs="仿宋_GB2312"/>
          <w:sz w:val="28"/>
          <w:szCs w:val="28"/>
          <w:u w:val="single"/>
        </w:rPr>
        <w:t xml:space="preserve">                 </w:t>
      </w:r>
      <w:r>
        <w:rPr>
          <w:rFonts w:hint="eastAsia" w:cs="仿宋_GB2312"/>
          <w:sz w:val="28"/>
          <w:szCs w:val="28"/>
        </w:rPr>
        <w:t>元）计算，月租金总额为人民币</w:t>
      </w:r>
      <w:r>
        <w:rPr>
          <w:rFonts w:hint="eastAsia" w:cs="仿宋_GB2312"/>
          <w:sz w:val="28"/>
          <w:szCs w:val="28"/>
          <w:u w:val="single"/>
        </w:rPr>
        <w:t xml:space="preserve">           </w:t>
      </w:r>
      <w:r>
        <w:rPr>
          <w:rFonts w:hint="eastAsia" w:cs="仿宋_GB2312"/>
          <w:sz w:val="28"/>
          <w:szCs w:val="28"/>
        </w:rPr>
        <w:t>元（大写：</w:t>
      </w:r>
      <w:r>
        <w:rPr>
          <w:rFonts w:hint="eastAsia" w:cs="仿宋_GB2312"/>
          <w:sz w:val="28"/>
          <w:szCs w:val="28"/>
          <w:u w:val="single"/>
        </w:rPr>
        <w:t xml:space="preserve">                   </w:t>
      </w:r>
      <w:r>
        <w:rPr>
          <w:rFonts w:hint="eastAsia" w:cs="仿宋_GB2312"/>
          <w:sz w:val="28"/>
          <w:szCs w:val="28"/>
        </w:rPr>
        <w:t xml:space="preserve">元）。  </w:t>
      </w:r>
    </w:p>
    <w:p>
      <w:pPr>
        <w:wordWrap w:val="0"/>
        <w:spacing w:line="480" w:lineRule="exact"/>
        <w:ind w:firstLine="562" w:firstLineChars="200"/>
        <w:rPr>
          <w:rFonts w:cs="仿宋_GB2312"/>
          <w:sz w:val="28"/>
          <w:szCs w:val="28"/>
          <w:u w:val="single"/>
        </w:rPr>
      </w:pPr>
      <w:r>
        <w:rPr>
          <w:rFonts w:hint="eastAsia" w:cs="仿宋_GB2312"/>
          <w:b/>
          <w:bCs/>
          <w:sz w:val="28"/>
          <w:szCs w:val="28"/>
        </w:rPr>
        <w:t>第三条</w:t>
      </w:r>
      <w:r>
        <w:rPr>
          <w:rFonts w:hint="eastAsia" w:cs="仿宋_GB2312"/>
          <w:sz w:val="28"/>
          <w:szCs w:val="28"/>
        </w:rPr>
        <w:t xml:space="preserve">  乙方应于</w:t>
      </w:r>
      <w:r>
        <w:rPr>
          <w:rFonts w:hint="eastAsia" w:cs="仿宋_GB2312"/>
          <w:sz w:val="28"/>
          <w:szCs w:val="28"/>
          <w:u w:val="single"/>
        </w:rPr>
        <w:t xml:space="preserve">      </w:t>
      </w:r>
      <w:r>
        <w:rPr>
          <w:rFonts w:hint="eastAsia" w:cs="仿宋_GB2312"/>
          <w:sz w:val="28"/>
          <w:szCs w:val="28"/>
        </w:rPr>
        <w:t>年</w:t>
      </w:r>
      <w:r>
        <w:rPr>
          <w:rFonts w:hint="eastAsia" w:cs="仿宋_GB2312"/>
          <w:sz w:val="28"/>
          <w:szCs w:val="28"/>
          <w:u w:val="single"/>
        </w:rPr>
        <w:t xml:space="preserve">    </w:t>
      </w:r>
      <w:r>
        <w:rPr>
          <w:rFonts w:hint="eastAsia" w:cs="仿宋_GB2312"/>
          <w:sz w:val="28"/>
          <w:szCs w:val="28"/>
        </w:rPr>
        <w:t>月</w:t>
      </w:r>
      <w:r>
        <w:rPr>
          <w:rFonts w:hint="eastAsia" w:cs="仿宋_GB2312"/>
          <w:sz w:val="28"/>
          <w:szCs w:val="28"/>
          <w:u w:val="single"/>
        </w:rPr>
        <w:t xml:space="preserve">    </w:t>
      </w:r>
      <w:r>
        <w:rPr>
          <w:rFonts w:hint="eastAsia" w:cs="仿宋_GB2312"/>
          <w:sz w:val="28"/>
          <w:szCs w:val="28"/>
        </w:rPr>
        <w:t>日前交付首期租金，金额为人民币</w:t>
      </w:r>
      <w:r>
        <w:rPr>
          <w:rFonts w:hint="eastAsia" w:cs="仿宋_GB2312"/>
          <w:sz w:val="28"/>
          <w:szCs w:val="28"/>
          <w:u w:val="single"/>
        </w:rPr>
        <w:t xml:space="preserve">         </w:t>
      </w:r>
      <w:r>
        <w:rPr>
          <w:rFonts w:hint="eastAsia" w:cs="仿宋_GB2312"/>
          <w:sz w:val="28"/>
          <w:szCs w:val="28"/>
        </w:rPr>
        <w:t>元（大写：</w:t>
      </w:r>
      <w:r>
        <w:rPr>
          <w:rFonts w:hint="eastAsia" w:cs="仿宋_GB2312"/>
          <w:sz w:val="28"/>
          <w:szCs w:val="28"/>
          <w:u w:val="single"/>
        </w:rPr>
        <w:t xml:space="preserve">                 </w:t>
      </w:r>
      <w:r>
        <w:rPr>
          <w:rFonts w:hint="eastAsia" w:cs="仿宋_GB2312"/>
          <w:sz w:val="28"/>
          <w:szCs w:val="28"/>
        </w:rPr>
        <w:t>元）。</w:t>
      </w:r>
    </w:p>
    <w:p>
      <w:pPr>
        <w:wordWrap w:val="0"/>
        <w:spacing w:line="480" w:lineRule="exact"/>
        <w:ind w:firstLine="562" w:firstLineChars="200"/>
        <w:rPr>
          <w:sz w:val="28"/>
          <w:szCs w:val="28"/>
        </w:rPr>
      </w:pPr>
      <w:r>
        <w:rPr>
          <w:rFonts w:hint="eastAsia" w:cs="仿宋_GB2312"/>
          <w:b/>
          <w:bCs/>
          <w:sz w:val="28"/>
          <w:szCs w:val="28"/>
        </w:rPr>
        <w:t>第四条</w:t>
      </w:r>
      <w:r>
        <w:rPr>
          <w:rFonts w:hint="eastAsia" w:cs="仿宋_GB2312"/>
          <w:sz w:val="28"/>
          <w:szCs w:val="28"/>
        </w:rPr>
        <w:t xml:space="preserve">  乙方应于：</w:t>
      </w:r>
    </w:p>
    <w:p>
      <w:pPr>
        <w:wordWrap w:val="0"/>
        <w:spacing w:line="480" w:lineRule="exact"/>
        <w:rPr>
          <w:sz w:val="28"/>
          <w:szCs w:val="28"/>
        </w:rPr>
      </w:pPr>
      <w:r>
        <w:rPr>
          <w:rFonts w:hint="eastAsia" w:cs="仿宋_GB2312"/>
          <w:sz w:val="28"/>
          <w:szCs w:val="28"/>
        </w:rPr>
        <w:t xml:space="preserve">    □每月</w:t>
      </w:r>
      <w:r>
        <w:rPr>
          <w:rFonts w:hint="eastAsia" w:cs="仿宋_GB2312"/>
          <w:sz w:val="28"/>
          <w:szCs w:val="28"/>
          <w:u w:val="single"/>
        </w:rPr>
        <w:t xml:space="preserve">          </w:t>
      </w:r>
      <w:r>
        <w:rPr>
          <w:rFonts w:hint="eastAsia" w:cs="仿宋_GB2312"/>
          <w:sz w:val="28"/>
          <w:szCs w:val="28"/>
        </w:rPr>
        <w:t>日前；</w:t>
      </w:r>
    </w:p>
    <w:p>
      <w:pPr>
        <w:wordWrap w:val="0"/>
        <w:spacing w:line="480" w:lineRule="exact"/>
        <w:rPr>
          <w:sz w:val="28"/>
          <w:szCs w:val="28"/>
        </w:rPr>
      </w:pPr>
      <w:r>
        <w:rPr>
          <w:rFonts w:hint="eastAsia" w:cs="仿宋_GB2312"/>
          <w:sz w:val="28"/>
          <w:szCs w:val="28"/>
        </w:rPr>
        <w:t xml:space="preserve">    □每季度第</w:t>
      </w:r>
      <w:r>
        <w:rPr>
          <w:rFonts w:hint="eastAsia" w:cs="仿宋_GB2312"/>
          <w:sz w:val="28"/>
          <w:szCs w:val="28"/>
          <w:u w:val="single"/>
        </w:rPr>
        <w:t xml:space="preserve">        </w:t>
      </w:r>
      <w:r>
        <w:rPr>
          <w:rFonts w:hint="eastAsia" w:cs="仿宋_GB2312"/>
          <w:sz w:val="28"/>
          <w:szCs w:val="28"/>
        </w:rPr>
        <w:t>个月</w:t>
      </w:r>
      <w:r>
        <w:rPr>
          <w:rFonts w:hint="eastAsia" w:cs="仿宋_GB2312"/>
          <w:sz w:val="28"/>
          <w:szCs w:val="28"/>
          <w:u w:val="single"/>
        </w:rPr>
        <w:t xml:space="preserve">        </w:t>
      </w:r>
      <w:r>
        <w:rPr>
          <w:rFonts w:hint="eastAsia" w:cs="仿宋_GB2312"/>
          <w:sz w:val="28"/>
          <w:szCs w:val="28"/>
        </w:rPr>
        <w:t>日前；</w:t>
      </w:r>
    </w:p>
    <w:p>
      <w:pPr>
        <w:wordWrap w:val="0"/>
        <w:spacing w:line="480" w:lineRule="exact"/>
        <w:rPr>
          <w:sz w:val="28"/>
          <w:szCs w:val="28"/>
        </w:rPr>
      </w:pPr>
      <w:r>
        <w:rPr>
          <w:rFonts w:hint="eastAsia" w:cs="仿宋_GB2312"/>
          <w:sz w:val="28"/>
          <w:szCs w:val="28"/>
        </w:rPr>
        <w:t xml:space="preserve">    □每半年第</w:t>
      </w:r>
      <w:r>
        <w:rPr>
          <w:rFonts w:hint="eastAsia" w:cs="仿宋_GB2312"/>
          <w:sz w:val="28"/>
          <w:szCs w:val="28"/>
          <w:u w:val="single"/>
        </w:rPr>
        <w:t xml:space="preserve">        </w:t>
      </w:r>
      <w:r>
        <w:rPr>
          <w:rFonts w:hint="eastAsia" w:cs="仿宋_GB2312"/>
          <w:sz w:val="28"/>
          <w:szCs w:val="28"/>
        </w:rPr>
        <w:t>个月</w:t>
      </w:r>
      <w:r>
        <w:rPr>
          <w:rFonts w:hint="eastAsia" w:cs="仿宋_GB2312"/>
          <w:sz w:val="28"/>
          <w:szCs w:val="28"/>
          <w:u w:val="single"/>
        </w:rPr>
        <w:t xml:space="preserve">        </w:t>
      </w:r>
      <w:r>
        <w:rPr>
          <w:rFonts w:hint="eastAsia" w:cs="仿宋_GB2312"/>
          <w:sz w:val="28"/>
          <w:szCs w:val="28"/>
        </w:rPr>
        <w:t>日前；</w:t>
      </w:r>
    </w:p>
    <w:p>
      <w:pPr>
        <w:wordWrap w:val="0"/>
        <w:spacing w:line="480" w:lineRule="exact"/>
        <w:rPr>
          <w:sz w:val="28"/>
          <w:szCs w:val="28"/>
        </w:rPr>
      </w:pPr>
      <w:r>
        <w:rPr>
          <w:rFonts w:hint="eastAsia" w:cs="仿宋_GB2312"/>
          <w:sz w:val="28"/>
          <w:szCs w:val="28"/>
        </w:rPr>
        <w:t xml:space="preserve">    □每年第</w:t>
      </w:r>
      <w:r>
        <w:rPr>
          <w:rFonts w:hint="eastAsia" w:cs="仿宋_GB2312"/>
          <w:sz w:val="28"/>
          <w:szCs w:val="28"/>
          <w:u w:val="single"/>
        </w:rPr>
        <w:t xml:space="preserve">          </w:t>
      </w:r>
      <w:r>
        <w:rPr>
          <w:rFonts w:hint="eastAsia" w:cs="仿宋_GB2312"/>
          <w:sz w:val="28"/>
          <w:szCs w:val="28"/>
        </w:rPr>
        <w:t>个月</w:t>
      </w:r>
      <w:r>
        <w:rPr>
          <w:rFonts w:hint="eastAsia" w:cs="仿宋_GB2312"/>
          <w:sz w:val="28"/>
          <w:szCs w:val="28"/>
          <w:u w:val="single"/>
        </w:rPr>
        <w:t xml:space="preserve">        </w:t>
      </w:r>
      <w:r>
        <w:rPr>
          <w:rFonts w:hint="eastAsia" w:cs="仿宋_GB2312"/>
          <w:sz w:val="28"/>
          <w:szCs w:val="28"/>
        </w:rPr>
        <w:t>日前；</w:t>
      </w:r>
    </w:p>
    <w:p>
      <w:pPr>
        <w:wordWrap w:val="0"/>
        <w:spacing w:line="480" w:lineRule="exact"/>
        <w:rPr>
          <w:sz w:val="28"/>
          <w:szCs w:val="28"/>
        </w:rPr>
      </w:pPr>
      <w:r>
        <w:rPr>
          <w:rFonts w:hint="eastAsia" w:cs="仿宋_GB2312"/>
          <w:sz w:val="28"/>
          <w:szCs w:val="28"/>
        </w:rPr>
        <w:t xml:space="preserve">    向甲方交付租金；甲方收取租金时，应向乙方开具税务发票。</w:t>
      </w:r>
    </w:p>
    <w:p>
      <w:pPr>
        <w:wordWrap w:val="0"/>
        <w:spacing w:line="480" w:lineRule="exact"/>
        <w:rPr>
          <w:rFonts w:cs="仿宋_GB2312"/>
          <w:sz w:val="28"/>
          <w:szCs w:val="28"/>
        </w:rPr>
      </w:pPr>
      <w:r>
        <w:rPr>
          <w:rFonts w:hint="eastAsia" w:cs="仿宋_GB2312"/>
          <w:sz w:val="28"/>
          <w:szCs w:val="28"/>
        </w:rPr>
        <w:t xml:space="preserve">    （上述四种方式双方应共同选择一项，并在所选项□内打“√”）</w:t>
      </w:r>
    </w:p>
    <w:p>
      <w:pPr>
        <w:wordWrap w:val="0"/>
        <w:spacing w:line="480" w:lineRule="exact"/>
        <w:ind w:firstLine="600"/>
        <w:rPr>
          <w:sz w:val="28"/>
          <w:szCs w:val="28"/>
        </w:rPr>
      </w:pPr>
      <w:r>
        <w:rPr>
          <w:rFonts w:hint="eastAsia" w:cs="仿宋_GB2312"/>
          <w:b/>
          <w:bCs/>
          <w:sz w:val="28"/>
          <w:szCs w:val="28"/>
        </w:rPr>
        <w:t xml:space="preserve">第五条  </w:t>
      </w:r>
      <w:r>
        <w:rPr>
          <w:rFonts w:hint="eastAsia" w:cs="仿宋_GB2312"/>
          <w:sz w:val="28"/>
          <w:szCs w:val="28"/>
        </w:rPr>
        <w:t>乙方租用租赁房屋的期限自</w:t>
      </w:r>
      <w:r>
        <w:rPr>
          <w:rFonts w:hint="eastAsia" w:cs="仿宋_GB2312"/>
          <w:sz w:val="28"/>
          <w:szCs w:val="28"/>
          <w:u w:val="single"/>
        </w:rPr>
        <w:t xml:space="preserve">     </w:t>
      </w:r>
      <w:r>
        <w:rPr>
          <w:rFonts w:hint="eastAsia" w:cs="仿宋_GB2312"/>
          <w:sz w:val="28"/>
          <w:szCs w:val="28"/>
        </w:rPr>
        <w:t>年</w:t>
      </w:r>
      <w:r>
        <w:rPr>
          <w:rFonts w:hint="eastAsia" w:cs="仿宋_GB2312"/>
          <w:sz w:val="28"/>
          <w:szCs w:val="28"/>
          <w:u w:val="single"/>
        </w:rPr>
        <w:t xml:space="preserve">    </w:t>
      </w:r>
      <w:r>
        <w:rPr>
          <w:rFonts w:hint="eastAsia" w:cs="仿宋_GB2312"/>
          <w:sz w:val="28"/>
          <w:szCs w:val="28"/>
        </w:rPr>
        <w:t>月</w:t>
      </w:r>
      <w:r>
        <w:rPr>
          <w:rFonts w:hint="eastAsia" w:cs="仿宋_GB2312"/>
          <w:sz w:val="28"/>
          <w:szCs w:val="28"/>
          <w:u w:val="single"/>
        </w:rPr>
        <w:t xml:space="preserve">    </w:t>
      </w:r>
      <w:r>
        <w:rPr>
          <w:rFonts w:hint="eastAsia" w:cs="仿宋_GB2312"/>
          <w:sz w:val="28"/>
          <w:szCs w:val="28"/>
        </w:rPr>
        <w:t>日起至</w:t>
      </w:r>
      <w:r>
        <w:rPr>
          <w:rFonts w:hint="eastAsia" w:cs="仿宋_GB2312"/>
          <w:sz w:val="28"/>
          <w:szCs w:val="28"/>
          <w:u w:val="single"/>
        </w:rPr>
        <w:t xml:space="preserve">     </w:t>
      </w:r>
      <w:r>
        <w:rPr>
          <w:rFonts w:hint="eastAsia" w:cs="仿宋_GB2312"/>
          <w:sz w:val="28"/>
          <w:szCs w:val="28"/>
        </w:rPr>
        <w:t>年</w:t>
      </w:r>
      <w:r>
        <w:rPr>
          <w:rFonts w:hint="eastAsia" w:cs="仿宋_GB2312"/>
          <w:sz w:val="28"/>
          <w:szCs w:val="28"/>
          <w:u w:val="single"/>
        </w:rPr>
        <w:t xml:space="preserve">   </w:t>
      </w:r>
      <w:r>
        <w:rPr>
          <w:rFonts w:hint="eastAsia" w:cs="仿宋_GB2312"/>
          <w:sz w:val="28"/>
          <w:szCs w:val="28"/>
        </w:rPr>
        <w:t>月</w:t>
      </w:r>
      <w:r>
        <w:rPr>
          <w:rFonts w:hint="eastAsia" w:cs="仿宋_GB2312"/>
          <w:sz w:val="28"/>
          <w:szCs w:val="28"/>
          <w:u w:val="single"/>
        </w:rPr>
        <w:t xml:space="preserve">    </w:t>
      </w:r>
      <w:r>
        <w:rPr>
          <w:rFonts w:hint="eastAsia" w:cs="仿宋_GB2312"/>
          <w:sz w:val="28"/>
          <w:szCs w:val="28"/>
        </w:rPr>
        <w:t>日止。</w:t>
      </w:r>
    </w:p>
    <w:p>
      <w:pPr>
        <w:wordWrap w:val="0"/>
        <w:spacing w:line="480" w:lineRule="exact"/>
        <w:rPr>
          <w:sz w:val="28"/>
          <w:szCs w:val="28"/>
        </w:rPr>
      </w:pPr>
      <w:r>
        <w:rPr>
          <w:rFonts w:hint="eastAsia" w:cs="仿宋_GB2312"/>
          <w:sz w:val="28"/>
          <w:szCs w:val="28"/>
        </w:rPr>
        <w:t xml:space="preserve">    前款约定之期限不得超过批准的土地使用年限，且不得超过20年，超出部分无效。</w:t>
      </w:r>
    </w:p>
    <w:p>
      <w:pPr>
        <w:wordWrap w:val="0"/>
        <w:spacing w:line="480" w:lineRule="exact"/>
        <w:rPr>
          <w:sz w:val="28"/>
          <w:szCs w:val="28"/>
        </w:rPr>
      </w:pPr>
      <w:r>
        <w:rPr>
          <w:rFonts w:hint="eastAsia" w:cs="仿宋_GB2312"/>
          <w:sz w:val="28"/>
          <w:szCs w:val="28"/>
        </w:rPr>
        <w:t xml:space="preserve">    </w:t>
      </w:r>
      <w:r>
        <w:rPr>
          <w:rFonts w:hint="eastAsia" w:cs="仿宋_GB2312"/>
          <w:b/>
          <w:bCs/>
          <w:sz w:val="28"/>
          <w:szCs w:val="28"/>
        </w:rPr>
        <w:t xml:space="preserve">第六条  </w:t>
      </w:r>
      <w:r>
        <w:rPr>
          <w:rFonts w:hint="eastAsia" w:cs="仿宋_GB2312"/>
          <w:sz w:val="28"/>
          <w:szCs w:val="28"/>
        </w:rPr>
        <w:t>租赁房屋用途：</w:t>
      </w:r>
      <w:r>
        <w:rPr>
          <w:rFonts w:hint="eastAsia" w:cs="仿宋_GB2312"/>
          <w:sz w:val="28"/>
          <w:szCs w:val="28"/>
          <w:u w:val="single"/>
        </w:rPr>
        <w:t xml:space="preserve">                      </w:t>
      </w:r>
      <w:r>
        <w:rPr>
          <w:rFonts w:hint="eastAsia" w:cs="仿宋_GB2312"/>
          <w:sz w:val="28"/>
          <w:szCs w:val="28"/>
        </w:rPr>
        <w:t>。</w:t>
      </w:r>
    </w:p>
    <w:p>
      <w:pPr>
        <w:wordWrap w:val="0"/>
        <w:spacing w:line="480" w:lineRule="exact"/>
        <w:ind w:firstLine="555"/>
        <w:rPr>
          <w:sz w:val="28"/>
          <w:szCs w:val="28"/>
        </w:rPr>
      </w:pPr>
      <w:r>
        <w:rPr>
          <w:rFonts w:hint="eastAsia" w:cs="仿宋_GB2312"/>
          <w:sz w:val="28"/>
          <w:szCs w:val="28"/>
        </w:rPr>
        <w:t xml:space="preserve">本合同租赁房屋的用途应与房地产权利证书的使用用途保持一致，未经有关部门批准禁止擅自改变用途。 </w:t>
      </w:r>
    </w:p>
    <w:p>
      <w:pPr>
        <w:wordWrap w:val="0"/>
        <w:spacing w:line="480" w:lineRule="exact"/>
        <w:ind w:firstLine="555"/>
        <w:rPr>
          <w:sz w:val="28"/>
          <w:szCs w:val="28"/>
        </w:rPr>
      </w:pPr>
      <w:r>
        <w:rPr>
          <w:rFonts w:hint="eastAsia" w:cs="仿宋_GB2312"/>
          <w:b/>
          <w:bCs/>
          <w:sz w:val="28"/>
          <w:szCs w:val="28"/>
        </w:rPr>
        <w:t>第七条</w:t>
      </w:r>
      <w:r>
        <w:rPr>
          <w:rFonts w:hint="eastAsia" w:cs="仿宋_GB2312"/>
          <w:sz w:val="28"/>
          <w:szCs w:val="28"/>
        </w:rPr>
        <w:t xml:space="preserve">  甲方应于</w:t>
      </w:r>
      <w:r>
        <w:rPr>
          <w:rFonts w:hint="eastAsia" w:cs="仿宋_GB2312"/>
          <w:sz w:val="28"/>
          <w:szCs w:val="28"/>
          <w:u w:val="single"/>
        </w:rPr>
        <w:t xml:space="preserve">       </w:t>
      </w:r>
      <w:r>
        <w:rPr>
          <w:rFonts w:hint="eastAsia" w:cs="仿宋_GB2312"/>
          <w:sz w:val="28"/>
          <w:szCs w:val="28"/>
        </w:rPr>
        <w:t>年</w:t>
      </w:r>
      <w:r>
        <w:rPr>
          <w:rFonts w:hint="eastAsia" w:cs="仿宋_GB2312"/>
          <w:sz w:val="28"/>
          <w:szCs w:val="28"/>
          <w:u w:val="single"/>
        </w:rPr>
        <w:t xml:space="preserve">    </w:t>
      </w:r>
      <w:r>
        <w:rPr>
          <w:rFonts w:hint="eastAsia" w:cs="仿宋_GB2312"/>
          <w:sz w:val="28"/>
          <w:szCs w:val="28"/>
        </w:rPr>
        <w:t>月</w:t>
      </w:r>
      <w:r>
        <w:rPr>
          <w:rFonts w:hint="eastAsia" w:cs="仿宋_GB2312"/>
          <w:sz w:val="28"/>
          <w:szCs w:val="28"/>
          <w:u w:val="single"/>
        </w:rPr>
        <w:t xml:space="preserve">    </w:t>
      </w:r>
      <w:r>
        <w:rPr>
          <w:rFonts w:hint="eastAsia" w:cs="仿宋_GB2312"/>
          <w:sz w:val="28"/>
          <w:szCs w:val="28"/>
        </w:rPr>
        <w:t>日前将租赁房屋交付乙方使用，并办理有关移交手续。</w:t>
      </w:r>
    </w:p>
    <w:p>
      <w:pPr>
        <w:wordWrap w:val="0"/>
        <w:spacing w:line="480" w:lineRule="exact"/>
        <w:rPr>
          <w:sz w:val="28"/>
          <w:szCs w:val="28"/>
        </w:rPr>
      </w:pPr>
      <w:r>
        <w:rPr>
          <w:rFonts w:hint="eastAsia" w:cs="仿宋_GB2312"/>
          <w:sz w:val="28"/>
          <w:szCs w:val="28"/>
        </w:rPr>
        <w:t xml:space="preserve">    甲方迟于前款时间交付租赁房屋，乙方可要求将本合同有效期顺延，双方应书面签字确认并报辖区房屋租赁登记备案机关登记备案。</w:t>
      </w:r>
    </w:p>
    <w:p>
      <w:pPr>
        <w:wordWrap w:val="0"/>
        <w:spacing w:line="480" w:lineRule="exact"/>
        <w:rPr>
          <w:sz w:val="28"/>
          <w:szCs w:val="28"/>
        </w:rPr>
      </w:pPr>
      <w:r>
        <w:rPr>
          <w:rFonts w:hint="eastAsia" w:cs="仿宋_GB2312"/>
          <w:sz w:val="28"/>
          <w:szCs w:val="28"/>
        </w:rPr>
        <w:t xml:space="preserve">    </w:t>
      </w:r>
      <w:r>
        <w:rPr>
          <w:rFonts w:hint="eastAsia" w:cs="仿宋_GB2312"/>
          <w:b/>
          <w:bCs/>
          <w:sz w:val="28"/>
          <w:szCs w:val="28"/>
        </w:rPr>
        <w:t>第八条</w:t>
      </w:r>
      <w:r>
        <w:rPr>
          <w:rFonts w:hint="eastAsia" w:cs="仿宋_GB2312"/>
          <w:sz w:val="28"/>
          <w:szCs w:val="28"/>
        </w:rPr>
        <w:t xml:space="preserve">  交付租赁房屋时，双方应就租赁房屋及其附属设施的当时状况、附属财产等有关情况进行确认，并在附页中补充列明。</w:t>
      </w:r>
    </w:p>
    <w:p>
      <w:pPr>
        <w:wordWrap w:val="0"/>
        <w:spacing w:line="480" w:lineRule="exact"/>
        <w:ind w:firstLine="600"/>
        <w:rPr>
          <w:rFonts w:cs="仿宋_GB2312"/>
          <w:sz w:val="28"/>
          <w:szCs w:val="28"/>
        </w:rPr>
      </w:pPr>
      <w:r>
        <w:rPr>
          <w:rFonts w:hint="eastAsia" w:cs="仿宋_GB2312"/>
          <w:b/>
          <w:bCs/>
          <w:sz w:val="28"/>
          <w:szCs w:val="28"/>
        </w:rPr>
        <w:t>第九条</w:t>
      </w:r>
      <w:r>
        <w:rPr>
          <w:rFonts w:hint="eastAsia" w:cs="仿宋_GB2312"/>
          <w:sz w:val="28"/>
          <w:szCs w:val="28"/>
        </w:rPr>
        <w:t xml:space="preserve">  甲方交付租赁房屋时，可向乙方收取</w:t>
      </w:r>
      <w:r>
        <w:rPr>
          <w:rFonts w:hint="eastAsia" w:cs="仿宋_GB2312"/>
          <w:sz w:val="28"/>
          <w:szCs w:val="28"/>
          <w:u w:val="single"/>
        </w:rPr>
        <w:t xml:space="preserve">       </w:t>
      </w:r>
      <w:r>
        <w:rPr>
          <w:rFonts w:hint="eastAsia" w:cs="仿宋_GB2312"/>
          <w:sz w:val="28"/>
          <w:szCs w:val="28"/>
        </w:rPr>
        <w:t xml:space="preserve">个月（不超过三个月）租金数额的租赁保证金，即人民币 </w:t>
      </w:r>
      <w:r>
        <w:rPr>
          <w:rFonts w:hint="eastAsia" w:cs="仿宋_GB2312"/>
          <w:sz w:val="28"/>
          <w:szCs w:val="28"/>
          <w:u w:val="single"/>
        </w:rPr>
        <w:t xml:space="preserve">        </w:t>
      </w:r>
      <w:r>
        <w:rPr>
          <w:rFonts w:hint="eastAsia" w:cs="仿宋_GB2312"/>
          <w:sz w:val="28"/>
          <w:szCs w:val="28"/>
        </w:rPr>
        <w:t>元（大写：</w:t>
      </w:r>
      <w:r>
        <w:rPr>
          <w:rFonts w:hint="eastAsia" w:cs="仿宋_GB2312"/>
          <w:sz w:val="28"/>
          <w:szCs w:val="28"/>
          <w:u w:val="single"/>
        </w:rPr>
        <w:t xml:space="preserve">                   </w:t>
      </w:r>
      <w:r>
        <w:rPr>
          <w:rFonts w:hint="eastAsia" w:cs="仿宋_GB2312"/>
          <w:sz w:val="28"/>
          <w:szCs w:val="28"/>
        </w:rPr>
        <w:t>元）。</w:t>
      </w:r>
    </w:p>
    <w:p>
      <w:pPr>
        <w:wordWrap w:val="0"/>
        <w:spacing w:line="480" w:lineRule="exact"/>
        <w:rPr>
          <w:sz w:val="28"/>
          <w:szCs w:val="28"/>
        </w:rPr>
      </w:pPr>
      <w:r>
        <w:rPr>
          <w:rFonts w:hint="eastAsia" w:cs="仿宋_GB2312"/>
          <w:sz w:val="28"/>
          <w:szCs w:val="28"/>
        </w:rPr>
        <w:t xml:space="preserve">    甲方收取租赁保证金，应向乙方开具收据。</w:t>
      </w:r>
    </w:p>
    <w:p>
      <w:pPr>
        <w:wordWrap w:val="0"/>
        <w:spacing w:line="480" w:lineRule="exact"/>
        <w:rPr>
          <w:sz w:val="28"/>
          <w:szCs w:val="28"/>
        </w:rPr>
      </w:pPr>
      <w:r>
        <w:rPr>
          <w:rFonts w:hint="eastAsia" w:cs="仿宋_GB2312"/>
          <w:sz w:val="28"/>
          <w:szCs w:val="28"/>
        </w:rPr>
        <w:t xml:space="preserve">    甲方向乙方返还租赁保证金的条件：</w:t>
      </w:r>
    </w:p>
    <w:p>
      <w:pPr>
        <w:wordWrap w:val="0"/>
        <w:spacing w:line="480" w:lineRule="exact"/>
        <w:rPr>
          <w:sz w:val="28"/>
          <w:szCs w:val="28"/>
        </w:rPr>
      </w:pPr>
      <w:r>
        <w:rPr>
          <w:rFonts w:hint="eastAsia" w:cs="仿宋_GB2312"/>
          <w:sz w:val="28"/>
          <w:szCs w:val="28"/>
        </w:rPr>
        <w:t xml:space="preserve">    1、</w:t>
      </w:r>
      <w:r>
        <w:rPr>
          <w:rFonts w:hint="eastAsia" w:cs="仿宋_GB2312"/>
          <w:sz w:val="28"/>
          <w:szCs w:val="28"/>
          <w:u w:val="single"/>
        </w:rPr>
        <w:t xml:space="preserve">                                                        </w:t>
      </w:r>
    </w:p>
    <w:p>
      <w:pPr>
        <w:wordWrap w:val="0"/>
        <w:spacing w:line="480" w:lineRule="exact"/>
        <w:rPr>
          <w:sz w:val="28"/>
          <w:szCs w:val="28"/>
        </w:rPr>
      </w:pPr>
      <w:r>
        <w:rPr>
          <w:rFonts w:hint="eastAsia" w:cs="仿宋_GB2312"/>
          <w:sz w:val="28"/>
          <w:szCs w:val="28"/>
        </w:rPr>
        <w:t xml:space="preserve">    2、</w:t>
      </w:r>
      <w:r>
        <w:rPr>
          <w:rFonts w:hint="eastAsia" w:cs="仿宋_GB2312"/>
          <w:sz w:val="28"/>
          <w:szCs w:val="28"/>
          <w:u w:val="single"/>
        </w:rPr>
        <w:t xml:space="preserve">                                                        </w:t>
      </w:r>
    </w:p>
    <w:p>
      <w:pPr>
        <w:wordWrap w:val="0"/>
        <w:spacing w:line="480" w:lineRule="exact"/>
        <w:rPr>
          <w:sz w:val="28"/>
          <w:szCs w:val="28"/>
        </w:rPr>
      </w:pPr>
      <w:r>
        <w:rPr>
          <w:rFonts w:hint="eastAsia" w:cs="仿宋_GB2312"/>
          <w:sz w:val="28"/>
          <w:szCs w:val="28"/>
        </w:rPr>
        <w:t xml:space="preserve">    3、</w:t>
      </w:r>
      <w:r>
        <w:rPr>
          <w:rFonts w:hint="eastAsia" w:cs="仿宋_GB2312"/>
          <w:sz w:val="28"/>
          <w:szCs w:val="28"/>
          <w:u w:val="single"/>
        </w:rPr>
        <w:t xml:space="preserve">                                                        </w:t>
      </w:r>
    </w:p>
    <w:p>
      <w:pPr>
        <w:wordWrap w:val="0"/>
        <w:spacing w:line="480" w:lineRule="exact"/>
        <w:rPr>
          <w:sz w:val="28"/>
          <w:szCs w:val="28"/>
        </w:rPr>
      </w:pPr>
      <w:r>
        <w:rPr>
          <w:rFonts w:hint="eastAsia" w:cs="仿宋_GB2312"/>
          <w:sz w:val="28"/>
          <w:szCs w:val="28"/>
        </w:rPr>
        <w:t xml:space="preserve">    □只满足条件之一。</w:t>
      </w:r>
    </w:p>
    <w:p>
      <w:pPr>
        <w:wordWrap w:val="0"/>
        <w:spacing w:line="480" w:lineRule="exact"/>
        <w:rPr>
          <w:sz w:val="28"/>
          <w:szCs w:val="28"/>
        </w:rPr>
      </w:pPr>
      <w:r>
        <w:rPr>
          <w:rFonts w:hint="eastAsia" w:cs="仿宋_GB2312"/>
          <w:sz w:val="28"/>
          <w:szCs w:val="28"/>
        </w:rPr>
        <w:t xml:space="preserve">    □全部满足。</w:t>
      </w:r>
    </w:p>
    <w:p>
      <w:pPr>
        <w:wordWrap w:val="0"/>
        <w:spacing w:line="480" w:lineRule="exact"/>
        <w:ind w:firstLine="600"/>
        <w:rPr>
          <w:sz w:val="28"/>
          <w:szCs w:val="28"/>
        </w:rPr>
      </w:pPr>
      <w:r>
        <w:rPr>
          <w:rFonts w:hint="eastAsia" w:cs="仿宋_GB2312"/>
          <w:sz w:val="28"/>
          <w:szCs w:val="28"/>
        </w:rPr>
        <w:t>（上述两种方式双方应共同选择一种，并在所选项□内打“√”）</w:t>
      </w:r>
    </w:p>
    <w:p>
      <w:pPr>
        <w:wordWrap w:val="0"/>
        <w:spacing w:line="480" w:lineRule="exact"/>
        <w:ind w:firstLine="600"/>
        <w:rPr>
          <w:sz w:val="28"/>
          <w:szCs w:val="28"/>
          <w:u w:val="single"/>
        </w:rPr>
      </w:pPr>
      <w:r>
        <w:rPr>
          <w:rFonts w:hint="eastAsia" w:cs="仿宋_GB2312"/>
          <w:sz w:val="28"/>
          <w:szCs w:val="28"/>
        </w:rPr>
        <w:t>返还租赁保证金的方式及时间：</w:t>
      </w:r>
      <w:r>
        <w:rPr>
          <w:rFonts w:hint="eastAsia" w:cs="仿宋_GB2312"/>
          <w:sz w:val="28"/>
          <w:szCs w:val="28"/>
          <w:u w:val="single"/>
        </w:rPr>
        <w:t xml:space="preserve">                       </w:t>
      </w:r>
      <w:r>
        <w:rPr>
          <w:rFonts w:hint="eastAsia" w:cs="仿宋_GB2312"/>
          <w:sz w:val="28"/>
          <w:szCs w:val="28"/>
        </w:rPr>
        <w:t>。</w:t>
      </w:r>
    </w:p>
    <w:p>
      <w:pPr>
        <w:wordWrap w:val="0"/>
        <w:spacing w:line="480" w:lineRule="exact"/>
        <w:rPr>
          <w:sz w:val="28"/>
          <w:szCs w:val="28"/>
        </w:rPr>
      </w:pPr>
      <w:r>
        <w:rPr>
          <w:rFonts w:hint="eastAsia" w:cs="仿宋_GB2312"/>
          <w:sz w:val="28"/>
          <w:szCs w:val="28"/>
        </w:rPr>
        <w:t xml:space="preserve">    出现下列情形之一的，甲方可不予返还保证金：</w:t>
      </w:r>
    </w:p>
    <w:p>
      <w:pPr>
        <w:wordWrap w:val="0"/>
        <w:spacing w:line="480" w:lineRule="exact"/>
        <w:rPr>
          <w:sz w:val="28"/>
          <w:szCs w:val="28"/>
        </w:rPr>
      </w:pPr>
      <w:r>
        <w:rPr>
          <w:rFonts w:hint="eastAsia" w:cs="仿宋_GB2312"/>
          <w:sz w:val="28"/>
          <w:szCs w:val="28"/>
        </w:rPr>
        <w:t xml:space="preserve">    1、</w:t>
      </w:r>
      <w:r>
        <w:rPr>
          <w:rFonts w:hint="eastAsia" w:cs="仿宋_GB2312"/>
          <w:sz w:val="28"/>
          <w:szCs w:val="28"/>
          <w:u w:val="single"/>
        </w:rPr>
        <w:t xml:space="preserve">                                                       </w:t>
      </w:r>
    </w:p>
    <w:p>
      <w:pPr>
        <w:wordWrap w:val="0"/>
        <w:spacing w:line="480" w:lineRule="exact"/>
        <w:rPr>
          <w:sz w:val="28"/>
          <w:szCs w:val="28"/>
        </w:rPr>
      </w:pPr>
      <w:r>
        <w:rPr>
          <w:rFonts w:hint="eastAsia" w:cs="仿宋_GB2312"/>
          <w:sz w:val="28"/>
          <w:szCs w:val="28"/>
        </w:rPr>
        <w:t xml:space="preserve">    2、</w:t>
      </w:r>
      <w:r>
        <w:rPr>
          <w:rFonts w:hint="eastAsia" w:cs="仿宋_GB2312"/>
          <w:sz w:val="28"/>
          <w:szCs w:val="28"/>
          <w:u w:val="single"/>
        </w:rPr>
        <w:t xml:space="preserve">                                                       </w:t>
      </w:r>
    </w:p>
    <w:p>
      <w:pPr>
        <w:wordWrap w:val="0"/>
        <w:spacing w:line="480" w:lineRule="exact"/>
        <w:rPr>
          <w:sz w:val="28"/>
          <w:szCs w:val="28"/>
        </w:rPr>
      </w:pPr>
      <w:r>
        <w:rPr>
          <w:rFonts w:hint="eastAsia" w:cs="仿宋_GB2312"/>
          <w:sz w:val="28"/>
          <w:szCs w:val="28"/>
        </w:rPr>
        <w:t xml:space="preserve">    3、</w:t>
      </w:r>
      <w:r>
        <w:rPr>
          <w:rFonts w:hint="eastAsia" w:cs="仿宋_GB2312"/>
          <w:sz w:val="28"/>
          <w:szCs w:val="28"/>
          <w:u w:val="single"/>
        </w:rPr>
        <w:t xml:space="preserve">                                                       </w:t>
      </w:r>
    </w:p>
    <w:p>
      <w:pPr>
        <w:wordWrap w:val="0"/>
        <w:spacing w:line="480" w:lineRule="exact"/>
        <w:ind w:firstLine="555"/>
        <w:rPr>
          <w:sz w:val="28"/>
          <w:szCs w:val="28"/>
        </w:rPr>
      </w:pPr>
      <w:r>
        <w:rPr>
          <w:rFonts w:hint="eastAsia" w:cs="仿宋_GB2312"/>
          <w:b/>
          <w:bCs/>
          <w:sz w:val="28"/>
          <w:szCs w:val="28"/>
        </w:rPr>
        <w:t>第十条</w:t>
      </w:r>
      <w:r>
        <w:rPr>
          <w:rFonts w:hint="eastAsia" w:cs="仿宋_GB2312"/>
          <w:sz w:val="28"/>
          <w:szCs w:val="28"/>
        </w:rPr>
        <w:t xml:space="preserve">  租赁期间，甲方负责支付租赁房屋所用土地的使用费及基于房屋租赁产生的税款、</w:t>
      </w:r>
      <w:r>
        <w:rPr>
          <w:rFonts w:hint="eastAsia" w:cs="仿宋_GB2312"/>
          <w:sz w:val="28"/>
          <w:szCs w:val="28"/>
          <w:u w:val="single"/>
        </w:rPr>
        <w:t xml:space="preserve">          </w:t>
      </w:r>
      <w:r>
        <w:rPr>
          <w:rFonts w:hint="eastAsia" w:cs="仿宋_GB2312"/>
          <w:sz w:val="28"/>
          <w:szCs w:val="28"/>
        </w:rPr>
        <w:t>费；乙方负责按时支付租赁房屋的水电费、卫生费、房屋（大厦）物业管理费、</w:t>
      </w:r>
      <w:r>
        <w:rPr>
          <w:rFonts w:hint="eastAsia" w:cs="仿宋_GB2312"/>
          <w:sz w:val="28"/>
          <w:szCs w:val="28"/>
          <w:u w:val="single"/>
        </w:rPr>
        <w:t xml:space="preserve">           </w:t>
      </w:r>
      <w:r>
        <w:rPr>
          <w:rFonts w:hint="eastAsia" w:cs="仿宋_GB2312"/>
          <w:sz w:val="28"/>
          <w:szCs w:val="28"/>
        </w:rPr>
        <w:t>费等因使用租赁房屋所产生的其他费用。</w:t>
      </w:r>
    </w:p>
    <w:p>
      <w:pPr>
        <w:wordWrap w:val="0"/>
        <w:spacing w:line="480" w:lineRule="exact"/>
        <w:rPr>
          <w:sz w:val="28"/>
          <w:szCs w:val="28"/>
        </w:rPr>
      </w:pPr>
      <w:r>
        <w:rPr>
          <w:rFonts w:hint="eastAsia" w:cs="仿宋_GB2312"/>
          <w:sz w:val="28"/>
          <w:szCs w:val="28"/>
        </w:rPr>
        <w:t xml:space="preserve">    </w:t>
      </w:r>
      <w:r>
        <w:rPr>
          <w:rFonts w:hint="eastAsia" w:cs="仿宋_GB2312"/>
          <w:b/>
          <w:bCs/>
          <w:sz w:val="28"/>
          <w:szCs w:val="28"/>
        </w:rPr>
        <w:t>第十一条</w:t>
      </w:r>
      <w:r>
        <w:rPr>
          <w:rFonts w:hint="eastAsia" w:cs="仿宋_GB2312"/>
          <w:sz w:val="28"/>
          <w:szCs w:val="28"/>
        </w:rPr>
        <w:t xml:space="preserve"> 甲方应确保交付的租赁房屋及其附属设施的安全性符合有关法律、法规或规章的规定。</w:t>
      </w:r>
    </w:p>
    <w:p>
      <w:pPr>
        <w:wordWrap w:val="0"/>
        <w:spacing w:line="480" w:lineRule="exact"/>
        <w:rPr>
          <w:b/>
          <w:bCs/>
          <w:sz w:val="28"/>
          <w:szCs w:val="28"/>
        </w:rPr>
      </w:pPr>
      <w:r>
        <w:rPr>
          <w:rFonts w:hint="eastAsia" w:cs="仿宋_GB2312"/>
          <w:sz w:val="28"/>
          <w:szCs w:val="28"/>
        </w:rPr>
        <w:t xml:space="preserve">    </w:t>
      </w:r>
      <w:r>
        <w:rPr>
          <w:rFonts w:hint="eastAsia" w:cs="仿宋_GB2312"/>
          <w:b/>
          <w:bCs/>
          <w:sz w:val="28"/>
          <w:szCs w:val="28"/>
        </w:rPr>
        <w:t xml:space="preserve">第十二条 </w:t>
      </w:r>
      <w:r>
        <w:rPr>
          <w:rFonts w:hint="eastAsia" w:cs="仿宋_GB2312"/>
          <w:sz w:val="28"/>
          <w:szCs w:val="28"/>
        </w:rPr>
        <w:t>乙方应合理使用租赁房屋及其附属设施，并不得利用租赁房屋从事违法行为；对乙方正常、合理使用租赁房屋，甲方不得干扰或者妨碍。</w:t>
      </w:r>
    </w:p>
    <w:p>
      <w:pPr>
        <w:wordWrap w:val="0"/>
        <w:spacing w:line="480" w:lineRule="exact"/>
        <w:ind w:firstLine="562" w:firstLineChars="200"/>
        <w:rPr>
          <w:sz w:val="28"/>
          <w:szCs w:val="28"/>
        </w:rPr>
      </w:pPr>
      <w:r>
        <w:rPr>
          <w:rFonts w:hint="eastAsia" w:cs="仿宋_GB2312"/>
          <w:b/>
          <w:bCs/>
          <w:sz w:val="28"/>
          <w:szCs w:val="28"/>
        </w:rPr>
        <w:t xml:space="preserve">第十三条 </w:t>
      </w:r>
      <w:r>
        <w:rPr>
          <w:rFonts w:hint="eastAsia" w:cs="仿宋_GB2312"/>
          <w:sz w:val="28"/>
          <w:szCs w:val="28"/>
        </w:rPr>
        <w:t>乙方在使用租赁房屋过程中，如非因乙方过错所致，租赁房屋或其附属设施出现或发生妨碍安全、正常使用的损坏或故障时，乙方应及时通知甲方并采取可能之有效措施防止缺陷的进一步扩大；甲方应在接到乙方通知后</w:t>
      </w:r>
      <w:r>
        <w:rPr>
          <w:rFonts w:hint="eastAsia" w:cs="仿宋_GB2312"/>
          <w:sz w:val="28"/>
          <w:szCs w:val="28"/>
          <w:u w:val="single"/>
        </w:rPr>
        <w:t xml:space="preserve">  </w:t>
      </w:r>
      <w:r>
        <w:rPr>
          <w:rFonts w:hint="eastAsia" w:cs="仿宋_GB2312"/>
          <w:sz w:val="28"/>
          <w:szCs w:val="28"/>
        </w:rPr>
        <w:t>日内进行维修或径直委托乙方代为维修；乙方无法通知甲方或甲方接到通知后不在上述约定的时间内履行维修义务的，乙方可代为维修。</w:t>
      </w:r>
    </w:p>
    <w:p>
      <w:pPr>
        <w:wordWrap w:val="0"/>
        <w:spacing w:line="480" w:lineRule="exact"/>
        <w:ind w:firstLine="560" w:firstLineChars="200"/>
        <w:rPr>
          <w:sz w:val="28"/>
          <w:szCs w:val="28"/>
        </w:rPr>
      </w:pPr>
      <w:r>
        <w:rPr>
          <w:rFonts w:hint="eastAsia" w:cs="仿宋_GB2312"/>
          <w:sz w:val="28"/>
          <w:szCs w:val="28"/>
        </w:rPr>
        <w:t>发生特别紧急情况必须立即进行维修的，乙方应先行代为维修并及时将有关情况通知甲方。</w:t>
      </w:r>
    </w:p>
    <w:p>
      <w:pPr>
        <w:wordWrap w:val="0"/>
        <w:spacing w:line="480" w:lineRule="exact"/>
        <w:rPr>
          <w:sz w:val="28"/>
          <w:szCs w:val="28"/>
        </w:rPr>
      </w:pPr>
      <w:r>
        <w:rPr>
          <w:rFonts w:hint="eastAsia" w:cs="仿宋_GB2312"/>
          <w:sz w:val="28"/>
          <w:szCs w:val="28"/>
        </w:rPr>
        <w:t xml:space="preserve">    上述两款规定情形下发生的维修费用（包括乙方代为维修及因防止缺陷扩大而支出的合理费用）由甲方承担。乙方未尽上述两款规定义务，未能及时通知或采取可能之有效措施，导致损失扩大的，该（扩大）部分维修费用由乙方自行承担。</w:t>
      </w:r>
    </w:p>
    <w:p>
      <w:pPr>
        <w:wordWrap w:val="0"/>
        <w:spacing w:line="480" w:lineRule="exact"/>
        <w:ind w:firstLine="555"/>
        <w:rPr>
          <w:rFonts w:cs="仿宋_GB2312"/>
          <w:sz w:val="28"/>
          <w:szCs w:val="28"/>
        </w:rPr>
      </w:pPr>
      <w:r>
        <w:rPr>
          <w:rFonts w:hint="eastAsia" w:cs="仿宋_GB2312"/>
          <w:b/>
          <w:bCs/>
          <w:sz w:val="28"/>
          <w:szCs w:val="28"/>
        </w:rPr>
        <w:t xml:space="preserve">第十四条 </w:t>
      </w:r>
      <w:r>
        <w:rPr>
          <w:rFonts w:hint="eastAsia" w:cs="仿宋_GB2312"/>
          <w:sz w:val="28"/>
          <w:szCs w:val="28"/>
        </w:rPr>
        <w:t>因乙方使用不当或不合理使用，导致租赁房屋或其附属设施出现或发生妨碍安全、损坏或故障等情形的，乙方应负责维修或赔偿并及告知甲方。</w:t>
      </w:r>
    </w:p>
    <w:p>
      <w:pPr>
        <w:wordWrap w:val="0"/>
        <w:spacing w:line="480" w:lineRule="exact"/>
        <w:ind w:firstLine="560" w:firstLineChars="200"/>
        <w:rPr>
          <w:rFonts w:cs="仿宋_GB2312"/>
          <w:sz w:val="28"/>
          <w:szCs w:val="28"/>
        </w:rPr>
      </w:pPr>
      <w:r>
        <w:rPr>
          <w:rFonts w:hint="eastAsia" w:cs="仿宋_GB2312"/>
          <w:sz w:val="28"/>
          <w:szCs w:val="28"/>
        </w:rPr>
        <w:t>乙方如改变房屋的内部结构、装修或设置对房屋结构有影响的设备，设计规模、范围、工艺、用料等方案均须事先征得甲方的书面同意后方可施工。租赁期满后或因乙方责任导致退租的，除双方另有约定外，甲方有权选择以下权利中的一种：</w:t>
      </w:r>
    </w:p>
    <w:p>
      <w:pPr>
        <w:wordWrap w:val="0"/>
        <w:spacing w:line="480" w:lineRule="exact"/>
        <w:ind w:firstLine="560" w:firstLineChars="200"/>
        <w:rPr>
          <w:rFonts w:cs="仿宋_GB2312"/>
          <w:sz w:val="28"/>
          <w:szCs w:val="28"/>
        </w:rPr>
      </w:pPr>
      <w:r>
        <w:rPr>
          <w:rFonts w:hint="eastAsia" w:cs="仿宋_GB2312"/>
          <w:sz w:val="28"/>
          <w:szCs w:val="28"/>
        </w:rPr>
        <w:t>□依附于房屋的装修归甲方所有。</w:t>
      </w:r>
    </w:p>
    <w:p>
      <w:pPr>
        <w:wordWrap w:val="0"/>
        <w:spacing w:line="480" w:lineRule="exact"/>
        <w:ind w:firstLine="560" w:firstLineChars="200"/>
        <w:rPr>
          <w:rFonts w:cs="仿宋_GB2312"/>
          <w:sz w:val="28"/>
          <w:szCs w:val="28"/>
        </w:rPr>
      </w:pPr>
      <w:r>
        <w:rPr>
          <w:rFonts w:hint="eastAsia" w:cs="仿宋_GB2312"/>
          <w:sz w:val="28"/>
          <w:szCs w:val="28"/>
        </w:rPr>
        <w:t>□要求乙方恢复原状。</w:t>
      </w:r>
    </w:p>
    <w:p>
      <w:pPr>
        <w:wordWrap w:val="0"/>
        <w:spacing w:line="480" w:lineRule="exact"/>
        <w:ind w:firstLine="560" w:firstLineChars="200"/>
        <w:rPr>
          <w:rFonts w:cs="仿宋_GB2312"/>
          <w:sz w:val="28"/>
          <w:szCs w:val="28"/>
        </w:rPr>
      </w:pPr>
      <w:r>
        <w:rPr>
          <w:rFonts w:hint="eastAsia" w:cs="仿宋_GB2312"/>
          <w:sz w:val="28"/>
          <w:szCs w:val="28"/>
        </w:rPr>
        <w:t>□向乙方收取恢复工程实际发生的费用。</w:t>
      </w:r>
    </w:p>
    <w:p>
      <w:pPr>
        <w:wordWrap w:val="0"/>
        <w:spacing w:line="480" w:lineRule="exact"/>
        <w:rPr>
          <w:rFonts w:cs="仿宋_GB2312"/>
          <w:sz w:val="28"/>
          <w:szCs w:val="28"/>
        </w:rPr>
      </w:pPr>
      <w:r>
        <w:rPr>
          <w:rFonts w:hint="eastAsia" w:cs="仿宋_GB2312"/>
          <w:sz w:val="28"/>
          <w:szCs w:val="28"/>
        </w:rPr>
        <w:t>（上述三款双方应共同选择一项，并在所选项□内打“√”）</w:t>
      </w:r>
    </w:p>
    <w:p>
      <w:pPr>
        <w:wordWrap w:val="0"/>
        <w:spacing w:line="480" w:lineRule="exact"/>
        <w:ind w:firstLine="555"/>
        <w:rPr>
          <w:b/>
          <w:bCs/>
          <w:sz w:val="28"/>
          <w:szCs w:val="28"/>
        </w:rPr>
      </w:pPr>
      <w:r>
        <w:rPr>
          <w:rFonts w:hint="eastAsia" w:cs="仿宋_GB2312"/>
          <w:b/>
          <w:bCs/>
          <w:sz w:val="28"/>
          <w:szCs w:val="28"/>
        </w:rPr>
        <w:t>第十五条</w:t>
      </w:r>
    </w:p>
    <w:p>
      <w:pPr>
        <w:wordWrap w:val="0"/>
        <w:spacing w:line="480" w:lineRule="exact"/>
        <w:rPr>
          <w:sz w:val="28"/>
          <w:szCs w:val="28"/>
        </w:rPr>
      </w:pPr>
      <w:r>
        <w:rPr>
          <w:rFonts w:hint="eastAsia" w:cs="仿宋_GB2312"/>
          <w:sz w:val="28"/>
          <w:szCs w:val="28"/>
        </w:rPr>
        <w:t xml:space="preserve">    □租赁期间，乙方可将租赁房屋全部或部分转租予他人，并到房屋租赁主管机关办理登记备案手续。但转租期限不得超过本合同约定之租赁期限；</w:t>
      </w:r>
    </w:p>
    <w:p>
      <w:pPr>
        <w:wordWrap w:val="0"/>
        <w:spacing w:line="480" w:lineRule="exact"/>
        <w:rPr>
          <w:sz w:val="28"/>
          <w:szCs w:val="28"/>
        </w:rPr>
      </w:pPr>
      <w:r>
        <w:rPr>
          <w:rFonts w:hint="eastAsia" w:cs="仿宋_GB2312"/>
          <w:sz w:val="28"/>
          <w:szCs w:val="28"/>
        </w:rPr>
        <w:t xml:space="preserve">    □租赁期间，经甲方书面同意，乙方可凭该同意转租的书面证明到房屋租赁主管机关办理登记备案手续。但转租期限不得超过本合同约定之租赁期限。</w:t>
      </w:r>
    </w:p>
    <w:p>
      <w:pPr>
        <w:wordWrap w:val="0"/>
        <w:spacing w:line="480" w:lineRule="exact"/>
        <w:rPr>
          <w:sz w:val="28"/>
          <w:szCs w:val="28"/>
        </w:rPr>
      </w:pPr>
      <w:r>
        <w:rPr>
          <w:rFonts w:hint="eastAsia" w:cs="仿宋_GB2312"/>
          <w:sz w:val="28"/>
          <w:szCs w:val="28"/>
        </w:rPr>
        <w:t xml:space="preserve">    □租赁期间，乙方不得将租赁房屋全部或部分转租予他人。</w:t>
      </w:r>
    </w:p>
    <w:p>
      <w:pPr>
        <w:wordWrap w:val="0"/>
        <w:spacing w:line="480" w:lineRule="exact"/>
        <w:rPr>
          <w:rFonts w:cs="仿宋_GB2312"/>
          <w:sz w:val="28"/>
          <w:szCs w:val="28"/>
        </w:rPr>
      </w:pPr>
      <w:r>
        <w:rPr>
          <w:rFonts w:hint="eastAsia" w:cs="仿宋_GB2312"/>
          <w:sz w:val="28"/>
          <w:szCs w:val="28"/>
        </w:rPr>
        <w:t xml:space="preserve">    （上述三款双方应共同选择一项，并在所选项□内打“√”）</w:t>
      </w:r>
    </w:p>
    <w:p>
      <w:pPr>
        <w:wordWrap w:val="0"/>
        <w:spacing w:line="480" w:lineRule="exact"/>
        <w:rPr>
          <w:sz w:val="28"/>
          <w:szCs w:val="28"/>
        </w:rPr>
      </w:pPr>
      <w:r>
        <w:rPr>
          <w:rFonts w:hint="eastAsia" w:cs="仿宋_GB2312"/>
          <w:sz w:val="28"/>
          <w:szCs w:val="28"/>
        </w:rPr>
        <w:t xml:space="preserve">  </w:t>
      </w:r>
      <w:r>
        <w:rPr>
          <w:rFonts w:hint="eastAsia" w:cs="仿宋_GB2312"/>
          <w:b/>
          <w:bCs/>
          <w:sz w:val="28"/>
          <w:szCs w:val="28"/>
        </w:rPr>
        <w:t xml:space="preserve">  第十六条</w:t>
      </w:r>
      <w:r>
        <w:rPr>
          <w:rFonts w:hint="eastAsia" w:cs="仿宋_GB2312"/>
          <w:sz w:val="28"/>
          <w:szCs w:val="28"/>
        </w:rPr>
        <w:t xml:space="preserve"> 本合同有效期内，甲方需转让租赁房屋的部分或全部产权的，应在转让前一个月书面通知乙方，乙方在同等条件下有优先购买权。乙方应在收到甲方书面通知后</w:t>
      </w:r>
      <w:r>
        <w:rPr>
          <w:rFonts w:hint="eastAsia" w:cs="仿宋_GB2312"/>
          <w:sz w:val="28"/>
          <w:szCs w:val="28"/>
          <w:u w:val="single"/>
        </w:rPr>
        <w:t xml:space="preserve">     </w:t>
      </w:r>
      <w:r>
        <w:rPr>
          <w:rFonts w:hint="eastAsia" w:cs="仿宋_GB2312"/>
          <w:sz w:val="28"/>
          <w:szCs w:val="28"/>
        </w:rPr>
        <w:t>个工作日内给予甲方书面回复，逾期视为自动放弃。</w:t>
      </w:r>
    </w:p>
    <w:p>
      <w:pPr>
        <w:wordWrap w:val="0"/>
        <w:spacing w:line="480" w:lineRule="exact"/>
        <w:rPr>
          <w:sz w:val="28"/>
          <w:szCs w:val="28"/>
        </w:rPr>
      </w:pPr>
      <w:r>
        <w:rPr>
          <w:rFonts w:hint="eastAsia" w:cs="仿宋_GB2312"/>
          <w:sz w:val="28"/>
          <w:szCs w:val="28"/>
        </w:rPr>
        <w:t xml:space="preserve">    </w:t>
      </w:r>
      <w:r>
        <w:rPr>
          <w:rFonts w:hint="eastAsia" w:cs="仿宋_GB2312"/>
          <w:b/>
          <w:bCs/>
          <w:sz w:val="28"/>
          <w:szCs w:val="28"/>
        </w:rPr>
        <w:t xml:space="preserve">第十七条 </w:t>
      </w:r>
      <w:r>
        <w:rPr>
          <w:rFonts w:hint="eastAsia" w:cs="仿宋_GB2312"/>
          <w:sz w:val="28"/>
          <w:szCs w:val="28"/>
        </w:rPr>
        <w:t>本合同有效期内，发生下列情形之一的，允许解除或变更本合同：</w:t>
      </w:r>
    </w:p>
    <w:p>
      <w:pPr>
        <w:wordWrap w:val="0"/>
        <w:spacing w:line="480" w:lineRule="exact"/>
        <w:rPr>
          <w:sz w:val="28"/>
          <w:szCs w:val="28"/>
        </w:rPr>
      </w:pPr>
      <w:r>
        <w:rPr>
          <w:rFonts w:hint="eastAsia" w:cs="仿宋_GB2312"/>
          <w:sz w:val="28"/>
          <w:szCs w:val="28"/>
        </w:rPr>
        <w:t xml:space="preserve">    （一）发生不可抗力，使本合同无法履行；</w:t>
      </w:r>
    </w:p>
    <w:p>
      <w:pPr>
        <w:wordWrap w:val="0"/>
        <w:spacing w:line="480" w:lineRule="exact"/>
        <w:rPr>
          <w:sz w:val="28"/>
          <w:szCs w:val="28"/>
        </w:rPr>
      </w:pPr>
      <w:r>
        <w:rPr>
          <w:rFonts w:hint="eastAsia" w:cs="仿宋_GB2312"/>
          <w:sz w:val="28"/>
          <w:szCs w:val="28"/>
        </w:rPr>
        <w:t xml:space="preserve">    （二）政府征用、收回或拆除租赁房屋；</w:t>
      </w:r>
    </w:p>
    <w:p>
      <w:pPr>
        <w:wordWrap w:val="0"/>
        <w:spacing w:line="480" w:lineRule="exact"/>
        <w:rPr>
          <w:sz w:val="28"/>
          <w:szCs w:val="28"/>
        </w:rPr>
      </w:pPr>
      <w:r>
        <w:rPr>
          <w:rFonts w:hint="eastAsia" w:cs="仿宋_GB2312"/>
          <w:sz w:val="28"/>
          <w:szCs w:val="28"/>
        </w:rPr>
        <w:t xml:space="preserve">    （三）甲、乙双方协商一致。</w:t>
      </w:r>
    </w:p>
    <w:p>
      <w:pPr>
        <w:wordWrap w:val="0"/>
        <w:spacing w:line="480" w:lineRule="exact"/>
        <w:ind w:firstLine="600"/>
        <w:rPr>
          <w:sz w:val="28"/>
          <w:szCs w:val="28"/>
        </w:rPr>
      </w:pPr>
      <w:r>
        <w:rPr>
          <w:rFonts w:hint="eastAsia" w:cs="仿宋_GB2312"/>
          <w:b/>
          <w:bCs/>
          <w:sz w:val="28"/>
          <w:szCs w:val="28"/>
        </w:rPr>
        <w:t xml:space="preserve">第十八条 </w:t>
      </w:r>
      <w:r>
        <w:rPr>
          <w:rFonts w:hint="eastAsia" w:cs="仿宋_GB2312"/>
          <w:sz w:val="28"/>
          <w:szCs w:val="28"/>
        </w:rPr>
        <w:t>出现下列情形之一时，甲方可就因此造成的损失，</w:t>
      </w:r>
    </w:p>
    <w:p>
      <w:pPr>
        <w:wordWrap w:val="0"/>
        <w:spacing w:line="480" w:lineRule="exact"/>
        <w:ind w:firstLine="560" w:firstLineChars="200"/>
        <w:rPr>
          <w:sz w:val="28"/>
          <w:szCs w:val="28"/>
        </w:rPr>
      </w:pPr>
      <w:r>
        <w:rPr>
          <w:rFonts w:hint="eastAsia" w:cs="仿宋_GB2312"/>
          <w:sz w:val="28"/>
          <w:szCs w:val="28"/>
        </w:rPr>
        <w:t>□1、要求乙方恢复房屋原状；</w:t>
      </w:r>
    </w:p>
    <w:p>
      <w:pPr>
        <w:wordWrap w:val="0"/>
        <w:spacing w:line="480" w:lineRule="exact"/>
        <w:rPr>
          <w:sz w:val="28"/>
          <w:szCs w:val="28"/>
        </w:rPr>
      </w:pPr>
      <w:r>
        <w:rPr>
          <w:rFonts w:hint="eastAsia" w:cs="仿宋_GB2312"/>
          <w:sz w:val="28"/>
          <w:szCs w:val="28"/>
        </w:rPr>
        <w:t xml:space="preserve">    □2、向乙方请求损害赔偿；</w:t>
      </w:r>
    </w:p>
    <w:p>
      <w:pPr>
        <w:wordWrap w:val="0"/>
        <w:spacing w:line="480" w:lineRule="exact"/>
        <w:rPr>
          <w:sz w:val="28"/>
          <w:szCs w:val="28"/>
        </w:rPr>
      </w:pPr>
      <w:r>
        <w:rPr>
          <w:rFonts w:hint="eastAsia" w:cs="仿宋_GB2312"/>
          <w:sz w:val="28"/>
          <w:szCs w:val="28"/>
        </w:rPr>
        <w:t xml:space="preserve">    □3、不予退还租赁保证金；</w:t>
      </w:r>
    </w:p>
    <w:p>
      <w:pPr>
        <w:tabs>
          <w:tab w:val="left" w:pos="1080"/>
        </w:tabs>
        <w:wordWrap w:val="0"/>
        <w:spacing w:line="480" w:lineRule="exact"/>
        <w:ind w:firstLine="600"/>
        <w:rPr>
          <w:rFonts w:cs="仿宋_GB2312"/>
          <w:sz w:val="28"/>
          <w:szCs w:val="28"/>
          <w:u w:val="single"/>
        </w:rPr>
      </w:pPr>
      <w:r>
        <w:rPr>
          <w:rFonts w:hint="eastAsia" w:cs="仿宋_GB2312"/>
          <w:sz w:val="28"/>
          <w:szCs w:val="28"/>
        </w:rPr>
        <w:t>□4、要求乙方支付违约金人民币</w:t>
      </w:r>
      <w:r>
        <w:rPr>
          <w:rFonts w:hint="eastAsia" w:cs="仿宋_GB2312"/>
          <w:sz w:val="28"/>
          <w:szCs w:val="28"/>
          <w:u w:val="single"/>
        </w:rPr>
        <w:t xml:space="preserve">       </w:t>
      </w:r>
      <w:r>
        <w:rPr>
          <w:rFonts w:hint="eastAsia" w:cs="仿宋_GB2312"/>
          <w:sz w:val="28"/>
          <w:szCs w:val="28"/>
        </w:rPr>
        <w:t>元（大写：</w:t>
      </w:r>
      <w:r>
        <w:rPr>
          <w:rFonts w:hint="eastAsia" w:cs="仿宋_GB2312"/>
          <w:sz w:val="28"/>
          <w:szCs w:val="28"/>
          <w:u w:val="single"/>
        </w:rPr>
        <w:t xml:space="preserve">            </w:t>
      </w:r>
      <w:r>
        <w:rPr>
          <w:rFonts w:hint="eastAsia" w:cs="仿宋_GB2312"/>
          <w:sz w:val="28"/>
          <w:szCs w:val="28"/>
        </w:rPr>
        <w:t xml:space="preserve"> 元）。</w:t>
      </w:r>
    </w:p>
    <w:p>
      <w:pPr>
        <w:wordWrap w:val="0"/>
        <w:spacing w:line="480" w:lineRule="exact"/>
        <w:rPr>
          <w:sz w:val="28"/>
          <w:szCs w:val="28"/>
        </w:rPr>
      </w:pPr>
      <w:r>
        <w:rPr>
          <w:rFonts w:hint="eastAsia" w:cs="仿宋_GB2312"/>
          <w:sz w:val="28"/>
          <w:szCs w:val="28"/>
        </w:rPr>
        <w:t xml:space="preserve">   （上述四种方式由双方协商选取，但第3、4项不能同时选取；在相应□内打“√”）：</w:t>
      </w:r>
    </w:p>
    <w:p>
      <w:pPr>
        <w:wordWrap w:val="0"/>
        <w:spacing w:line="480" w:lineRule="exact"/>
        <w:rPr>
          <w:sz w:val="28"/>
          <w:szCs w:val="28"/>
        </w:rPr>
      </w:pPr>
      <w:r>
        <w:rPr>
          <w:rFonts w:hint="eastAsia" w:cs="仿宋_GB2312"/>
          <w:sz w:val="28"/>
          <w:szCs w:val="28"/>
        </w:rPr>
        <w:t xml:space="preserve">   （一）乙方拖欠租金达</w:t>
      </w:r>
      <w:r>
        <w:rPr>
          <w:rFonts w:hint="eastAsia" w:cs="仿宋_GB2312"/>
          <w:sz w:val="28"/>
          <w:szCs w:val="28"/>
          <w:u w:val="single"/>
        </w:rPr>
        <w:t xml:space="preserve">       </w:t>
      </w:r>
      <w:r>
        <w:rPr>
          <w:rFonts w:hint="eastAsia" w:cs="仿宋_GB2312"/>
          <w:sz w:val="28"/>
          <w:szCs w:val="28"/>
        </w:rPr>
        <w:t>天（</w:t>
      </w:r>
      <w:r>
        <w:rPr>
          <w:rFonts w:hint="eastAsia" w:cs="仿宋_GB2312"/>
          <w:sz w:val="28"/>
          <w:szCs w:val="28"/>
          <w:u w:val="single"/>
        </w:rPr>
        <w:t xml:space="preserve">        </w:t>
      </w:r>
      <w:r>
        <w:rPr>
          <w:rFonts w:hint="eastAsia" w:cs="仿宋_GB2312"/>
          <w:sz w:val="28"/>
          <w:szCs w:val="28"/>
        </w:rPr>
        <w:t>个月）以上；</w:t>
      </w:r>
    </w:p>
    <w:p>
      <w:pPr>
        <w:wordWrap w:val="0"/>
        <w:spacing w:line="480" w:lineRule="exact"/>
        <w:rPr>
          <w:sz w:val="28"/>
          <w:szCs w:val="28"/>
        </w:rPr>
      </w:pPr>
      <w:r>
        <w:rPr>
          <w:rFonts w:hint="eastAsia" w:cs="仿宋_GB2312"/>
          <w:sz w:val="28"/>
          <w:szCs w:val="28"/>
        </w:rPr>
        <w:t xml:space="preserve">   （二）乙方拖欠可能导致甲方损失的各项费用达</w:t>
      </w:r>
      <w:r>
        <w:rPr>
          <w:rFonts w:hint="eastAsia" w:cs="仿宋_GB2312"/>
          <w:sz w:val="28"/>
          <w:szCs w:val="28"/>
          <w:u w:val="single"/>
        </w:rPr>
        <w:t xml:space="preserve">        </w:t>
      </w:r>
      <w:r>
        <w:rPr>
          <w:rFonts w:hint="eastAsia" w:cs="仿宋_GB2312"/>
          <w:sz w:val="28"/>
          <w:szCs w:val="28"/>
        </w:rPr>
        <w:t>元以上；</w:t>
      </w:r>
    </w:p>
    <w:p>
      <w:pPr>
        <w:wordWrap w:val="0"/>
        <w:spacing w:line="480" w:lineRule="exact"/>
        <w:rPr>
          <w:sz w:val="28"/>
          <w:szCs w:val="28"/>
        </w:rPr>
      </w:pPr>
      <w:r>
        <w:rPr>
          <w:rFonts w:hint="eastAsia" w:cs="仿宋_GB2312"/>
          <w:sz w:val="28"/>
          <w:szCs w:val="28"/>
        </w:rPr>
        <w:t xml:space="preserve">   （三）乙方利用租赁房屋进行非法活动，损害公共利益或者他人利益的；</w:t>
      </w:r>
    </w:p>
    <w:p>
      <w:pPr>
        <w:wordWrap w:val="0"/>
        <w:spacing w:line="480" w:lineRule="exact"/>
        <w:rPr>
          <w:sz w:val="28"/>
          <w:szCs w:val="28"/>
        </w:rPr>
      </w:pPr>
      <w:r>
        <w:rPr>
          <w:rFonts w:hint="eastAsia" w:cs="仿宋_GB2312"/>
          <w:sz w:val="28"/>
          <w:szCs w:val="28"/>
        </w:rPr>
        <w:t xml:space="preserve">   （四）乙方擅自改变租赁房屋结构或者用途的；</w:t>
      </w:r>
    </w:p>
    <w:p>
      <w:pPr>
        <w:wordWrap w:val="0"/>
        <w:spacing w:line="480" w:lineRule="exact"/>
        <w:rPr>
          <w:sz w:val="28"/>
          <w:szCs w:val="28"/>
        </w:rPr>
      </w:pPr>
      <w:r>
        <w:rPr>
          <w:rFonts w:hint="eastAsia" w:cs="仿宋_GB2312"/>
          <w:sz w:val="28"/>
          <w:szCs w:val="28"/>
        </w:rPr>
        <w:t xml:space="preserve">   （五）乙方违反本合同第十四条规定，不承担维修责任或支付维修费用，致使房屋或设备严重损坏的；</w:t>
      </w:r>
    </w:p>
    <w:p>
      <w:pPr>
        <w:wordWrap w:val="0"/>
        <w:spacing w:line="480" w:lineRule="exact"/>
        <w:rPr>
          <w:sz w:val="28"/>
          <w:szCs w:val="28"/>
        </w:rPr>
      </w:pPr>
      <w:r>
        <w:rPr>
          <w:rFonts w:hint="eastAsia" w:cs="仿宋_GB2312"/>
          <w:sz w:val="28"/>
          <w:szCs w:val="28"/>
        </w:rPr>
        <w:t xml:space="preserve">   （六）未经甲方书面同意及有关部门批准，乙方擅自将租赁房屋进行装修；</w:t>
      </w:r>
    </w:p>
    <w:p>
      <w:pPr>
        <w:wordWrap w:val="0"/>
        <w:spacing w:line="480" w:lineRule="exact"/>
        <w:rPr>
          <w:sz w:val="28"/>
          <w:szCs w:val="28"/>
        </w:rPr>
      </w:pPr>
      <w:r>
        <w:rPr>
          <w:rFonts w:hint="eastAsia" w:cs="仿宋_GB2312"/>
          <w:sz w:val="28"/>
          <w:szCs w:val="28"/>
        </w:rPr>
        <w:t xml:space="preserve">   （七）乙方擅自将租赁房屋转租第三人的。</w:t>
      </w:r>
    </w:p>
    <w:p>
      <w:pPr>
        <w:wordWrap w:val="0"/>
        <w:spacing w:line="480" w:lineRule="exact"/>
        <w:rPr>
          <w:sz w:val="28"/>
          <w:szCs w:val="28"/>
        </w:rPr>
      </w:pPr>
      <w:r>
        <w:rPr>
          <w:rFonts w:hint="eastAsia" w:cs="仿宋_GB2312"/>
          <w:sz w:val="28"/>
          <w:szCs w:val="28"/>
        </w:rPr>
        <w:t xml:space="preserve">    除追究乙方损害赔偿责任或违约责任外，甲方有权依据上述情形向乙方提出变更合同条款或解除合同，解除合同通知书一经合法送达，甲方有权申请单方注销房屋租赁登记备案。</w:t>
      </w:r>
    </w:p>
    <w:p>
      <w:pPr>
        <w:wordWrap w:val="0"/>
        <w:spacing w:line="480" w:lineRule="exact"/>
        <w:rPr>
          <w:sz w:val="28"/>
          <w:szCs w:val="28"/>
        </w:rPr>
      </w:pPr>
      <w:r>
        <w:rPr>
          <w:rFonts w:hint="eastAsia" w:cs="仿宋_GB2312"/>
          <w:sz w:val="28"/>
          <w:szCs w:val="28"/>
        </w:rPr>
        <w:t xml:space="preserve">    </w:t>
      </w:r>
      <w:r>
        <w:rPr>
          <w:rFonts w:hint="eastAsia" w:cs="仿宋_GB2312"/>
          <w:b/>
          <w:bCs/>
          <w:sz w:val="28"/>
          <w:szCs w:val="28"/>
        </w:rPr>
        <w:t>第十九条</w:t>
      </w:r>
      <w:r>
        <w:rPr>
          <w:rFonts w:hint="eastAsia" w:cs="仿宋_GB2312"/>
          <w:sz w:val="28"/>
          <w:szCs w:val="28"/>
        </w:rPr>
        <w:t xml:space="preserve"> 出现下列情形之一时，乙方可就因此造成的损失，</w:t>
      </w:r>
    </w:p>
    <w:p>
      <w:pPr>
        <w:wordWrap w:val="0"/>
        <w:spacing w:line="480" w:lineRule="exact"/>
        <w:rPr>
          <w:sz w:val="28"/>
          <w:szCs w:val="28"/>
        </w:rPr>
      </w:pPr>
      <w:r>
        <w:rPr>
          <w:rFonts w:hint="eastAsia" w:cs="仿宋_GB2312"/>
          <w:sz w:val="28"/>
          <w:szCs w:val="28"/>
        </w:rPr>
        <w:t xml:space="preserve">    □1、向甲方请求损害赔偿；</w:t>
      </w:r>
    </w:p>
    <w:p>
      <w:pPr>
        <w:wordWrap w:val="0"/>
        <w:spacing w:line="480" w:lineRule="exact"/>
        <w:rPr>
          <w:sz w:val="28"/>
          <w:szCs w:val="28"/>
        </w:rPr>
      </w:pPr>
      <w:r>
        <w:rPr>
          <w:rFonts w:hint="eastAsia" w:cs="仿宋_GB2312"/>
          <w:sz w:val="28"/>
          <w:szCs w:val="28"/>
        </w:rPr>
        <w:t xml:space="preserve">    □2、请求甲方双倍退还租赁保证金；</w:t>
      </w:r>
    </w:p>
    <w:p>
      <w:pPr>
        <w:wordWrap w:val="0"/>
        <w:spacing w:line="480" w:lineRule="exact"/>
        <w:ind w:firstLine="560" w:firstLineChars="200"/>
        <w:rPr>
          <w:sz w:val="28"/>
          <w:szCs w:val="28"/>
        </w:rPr>
      </w:pPr>
      <w:r>
        <w:rPr>
          <w:rFonts w:hint="eastAsia" w:cs="仿宋_GB2312"/>
          <w:sz w:val="28"/>
          <w:szCs w:val="28"/>
        </w:rPr>
        <w:t>□3、甲方支付违约金人民币</w:t>
      </w:r>
      <w:r>
        <w:rPr>
          <w:rFonts w:hint="eastAsia" w:cs="仿宋_GB2312"/>
          <w:sz w:val="28"/>
          <w:szCs w:val="28"/>
          <w:u w:val="single"/>
        </w:rPr>
        <w:t xml:space="preserve">         </w:t>
      </w:r>
      <w:r>
        <w:rPr>
          <w:rFonts w:hint="eastAsia" w:cs="仿宋_GB2312"/>
          <w:sz w:val="28"/>
          <w:szCs w:val="28"/>
        </w:rPr>
        <w:t>元（大写：</w:t>
      </w:r>
      <w:r>
        <w:rPr>
          <w:rFonts w:hint="eastAsia" w:cs="仿宋_GB2312"/>
          <w:sz w:val="28"/>
          <w:szCs w:val="28"/>
          <w:u w:val="single"/>
        </w:rPr>
        <w:t xml:space="preserve">                  </w:t>
      </w:r>
      <w:r>
        <w:rPr>
          <w:rFonts w:hint="eastAsia" w:cs="仿宋_GB2312"/>
          <w:sz w:val="28"/>
          <w:szCs w:val="28"/>
        </w:rPr>
        <w:t>元）。</w:t>
      </w:r>
    </w:p>
    <w:p>
      <w:pPr>
        <w:wordWrap w:val="0"/>
        <w:spacing w:line="480" w:lineRule="exact"/>
        <w:rPr>
          <w:sz w:val="28"/>
          <w:szCs w:val="28"/>
        </w:rPr>
      </w:pPr>
      <w:r>
        <w:rPr>
          <w:rFonts w:hint="eastAsia" w:cs="仿宋_GB2312"/>
          <w:sz w:val="28"/>
          <w:szCs w:val="28"/>
        </w:rPr>
        <w:t xml:space="preserve"> （上述三种方式由双方协商选取，但第2、3项不能同时选取；在相应□内打“√”）：</w:t>
      </w:r>
    </w:p>
    <w:p>
      <w:pPr>
        <w:wordWrap w:val="0"/>
        <w:spacing w:line="480" w:lineRule="exact"/>
        <w:rPr>
          <w:sz w:val="28"/>
          <w:szCs w:val="28"/>
        </w:rPr>
      </w:pPr>
      <w:r>
        <w:rPr>
          <w:rFonts w:hint="eastAsia" w:cs="仿宋_GB2312"/>
          <w:sz w:val="28"/>
          <w:szCs w:val="28"/>
        </w:rPr>
        <w:t xml:space="preserve">    （一）甲方迟延交付租赁房屋</w:t>
      </w:r>
      <w:r>
        <w:rPr>
          <w:rFonts w:hint="eastAsia" w:cs="仿宋_GB2312"/>
          <w:sz w:val="28"/>
          <w:szCs w:val="28"/>
          <w:u w:val="single"/>
        </w:rPr>
        <w:t xml:space="preserve">      </w:t>
      </w:r>
      <w:r>
        <w:rPr>
          <w:rFonts w:hint="eastAsia" w:cs="仿宋_GB2312"/>
          <w:sz w:val="28"/>
          <w:szCs w:val="28"/>
        </w:rPr>
        <w:t>天（</w:t>
      </w:r>
      <w:r>
        <w:rPr>
          <w:rFonts w:hint="eastAsia" w:cs="仿宋_GB2312"/>
          <w:sz w:val="28"/>
          <w:szCs w:val="28"/>
          <w:u w:val="single"/>
        </w:rPr>
        <w:t xml:space="preserve">      </w:t>
      </w:r>
      <w:r>
        <w:rPr>
          <w:rFonts w:hint="eastAsia" w:cs="仿宋_GB2312"/>
          <w:sz w:val="28"/>
          <w:szCs w:val="28"/>
        </w:rPr>
        <w:t>个月）以上；</w:t>
      </w:r>
    </w:p>
    <w:p>
      <w:pPr>
        <w:wordWrap w:val="0"/>
        <w:spacing w:line="480" w:lineRule="exact"/>
        <w:rPr>
          <w:rFonts w:cs="仿宋_GB2312"/>
          <w:sz w:val="28"/>
          <w:szCs w:val="28"/>
        </w:rPr>
      </w:pPr>
      <w:r>
        <w:rPr>
          <w:rFonts w:hint="eastAsia" w:cs="仿宋_GB2312"/>
          <w:sz w:val="28"/>
          <w:szCs w:val="28"/>
        </w:rPr>
        <w:t xml:space="preserve">    （二）甲方违反本合同第十一条约定，租赁房屋的安全性不符合相关法律、法规或规章的规定的；  </w:t>
      </w:r>
    </w:p>
    <w:p>
      <w:pPr>
        <w:wordWrap w:val="0"/>
        <w:spacing w:line="480" w:lineRule="exact"/>
        <w:rPr>
          <w:sz w:val="28"/>
          <w:szCs w:val="28"/>
        </w:rPr>
      </w:pPr>
      <w:r>
        <w:rPr>
          <w:rFonts w:hint="eastAsia" w:cs="仿宋_GB2312"/>
          <w:sz w:val="28"/>
          <w:szCs w:val="28"/>
        </w:rPr>
        <w:t xml:space="preserve">    （三）甲方违反本合同第十三条规定，不承担维修责任或支付维修费用的；</w:t>
      </w:r>
    </w:p>
    <w:p>
      <w:pPr>
        <w:wordWrap w:val="0"/>
        <w:spacing w:line="480" w:lineRule="exact"/>
        <w:ind w:firstLine="570"/>
        <w:rPr>
          <w:sz w:val="28"/>
          <w:szCs w:val="28"/>
        </w:rPr>
      </w:pPr>
      <w:r>
        <w:rPr>
          <w:rFonts w:hint="eastAsia" w:cs="仿宋_GB2312"/>
          <w:sz w:val="28"/>
          <w:szCs w:val="28"/>
        </w:rPr>
        <w:t>（四）未经乙方同意或有关部门批准，甲方将租赁房屋进行改建、扩建或装修的；</w:t>
      </w:r>
    </w:p>
    <w:p>
      <w:pPr>
        <w:wordWrap w:val="0"/>
        <w:spacing w:line="480" w:lineRule="exact"/>
        <w:ind w:firstLine="570"/>
        <w:rPr>
          <w:sz w:val="28"/>
          <w:szCs w:val="28"/>
        </w:rPr>
      </w:pPr>
      <w:r>
        <w:rPr>
          <w:rFonts w:hint="eastAsia" w:cs="仿宋_GB2312"/>
          <w:sz w:val="28"/>
          <w:szCs w:val="28"/>
        </w:rPr>
        <w:t>（五）甲方无正当理由，单方要求提前解除（终止）合同的。</w:t>
      </w:r>
    </w:p>
    <w:p>
      <w:pPr>
        <w:wordWrap w:val="0"/>
        <w:spacing w:line="480" w:lineRule="exact"/>
        <w:rPr>
          <w:sz w:val="28"/>
          <w:szCs w:val="28"/>
        </w:rPr>
      </w:pPr>
      <w:r>
        <w:rPr>
          <w:rFonts w:hint="eastAsia" w:cs="仿宋_GB2312"/>
          <w:sz w:val="28"/>
          <w:szCs w:val="28"/>
        </w:rPr>
        <w:t xml:space="preserve">    除追究甲方损害赔偿责任或违约责任外，乙方还可依据上述情形向甲方提出变更合同条款或解除合同，解除合同通知书一经合法送达，乙方有权申请单方注销房屋租赁登记备案。</w:t>
      </w:r>
    </w:p>
    <w:p>
      <w:pPr>
        <w:wordWrap w:val="0"/>
        <w:spacing w:line="480" w:lineRule="exact"/>
        <w:ind w:firstLine="600"/>
        <w:rPr>
          <w:sz w:val="28"/>
          <w:szCs w:val="28"/>
        </w:rPr>
      </w:pPr>
      <w:r>
        <w:rPr>
          <w:rFonts w:hint="eastAsia" w:cs="仿宋_GB2312"/>
          <w:b/>
          <w:bCs/>
          <w:sz w:val="28"/>
          <w:szCs w:val="28"/>
        </w:rPr>
        <w:t>第二十条</w:t>
      </w:r>
      <w:r>
        <w:rPr>
          <w:rFonts w:hint="eastAsia" w:cs="仿宋_GB2312"/>
          <w:sz w:val="28"/>
          <w:szCs w:val="28"/>
        </w:rPr>
        <w:t xml:space="preserve">  本合同终止后，乙方应于</w:t>
      </w:r>
      <w:r>
        <w:rPr>
          <w:rFonts w:hint="eastAsia" w:cs="仿宋_GB2312"/>
          <w:sz w:val="28"/>
          <w:szCs w:val="28"/>
          <w:u w:val="single"/>
        </w:rPr>
        <w:t xml:space="preserve">     </w:t>
      </w:r>
      <w:r>
        <w:rPr>
          <w:rFonts w:hint="eastAsia" w:cs="仿宋_GB2312"/>
          <w:sz w:val="28"/>
          <w:szCs w:val="28"/>
        </w:rPr>
        <w:t>日内迁离并返还租赁房屋，并保证租赁房屋及附属设施的完好（属正常损耗的除外），同时结清应当由乙方承担的各项费用并办理有关移交手续</w:t>
      </w:r>
      <w:r>
        <w:rPr>
          <w:rFonts w:hint="eastAsia"/>
          <w:sz w:val="28"/>
          <w:szCs w:val="28"/>
        </w:rPr>
        <w:t>。</w:t>
      </w:r>
    </w:p>
    <w:p>
      <w:pPr>
        <w:wordWrap w:val="0"/>
        <w:spacing w:line="480" w:lineRule="exact"/>
        <w:rPr>
          <w:sz w:val="28"/>
          <w:szCs w:val="28"/>
        </w:rPr>
      </w:pPr>
      <w:r>
        <w:rPr>
          <w:rFonts w:hint="eastAsia" w:cs="仿宋_GB2312"/>
          <w:sz w:val="28"/>
          <w:szCs w:val="28"/>
        </w:rPr>
        <w:t xml:space="preserve">    乙方逾期不迁离或不返还租赁房屋的，甲方有权依法律规定或依合同约定收回租赁房屋，并就逾期部分向乙方收取相当于双倍租金的赔偿金。</w:t>
      </w:r>
    </w:p>
    <w:p>
      <w:pPr>
        <w:wordWrap w:val="0"/>
        <w:spacing w:line="480" w:lineRule="exact"/>
        <w:rPr>
          <w:sz w:val="28"/>
          <w:szCs w:val="28"/>
        </w:rPr>
      </w:pPr>
      <w:r>
        <w:rPr>
          <w:rFonts w:hint="eastAsia" w:cs="仿宋_GB2312"/>
          <w:sz w:val="28"/>
          <w:szCs w:val="28"/>
        </w:rPr>
        <w:t xml:space="preserve">    </w:t>
      </w:r>
      <w:r>
        <w:rPr>
          <w:rFonts w:hint="eastAsia" w:cs="仿宋_GB2312"/>
          <w:b/>
          <w:bCs/>
          <w:sz w:val="28"/>
          <w:szCs w:val="28"/>
        </w:rPr>
        <w:t xml:space="preserve">第二十一条 </w:t>
      </w:r>
      <w:r>
        <w:rPr>
          <w:rFonts w:hint="eastAsia" w:cs="仿宋_GB2312"/>
          <w:sz w:val="28"/>
          <w:szCs w:val="28"/>
        </w:rPr>
        <w:t xml:space="preserve"> 本合同约定之租赁期间届满，乙方需继续租用租赁房屋的，应于租赁期届满之日前</w:t>
      </w:r>
      <w:r>
        <w:rPr>
          <w:rFonts w:hint="eastAsia" w:cs="仿宋_GB2312"/>
          <w:sz w:val="28"/>
          <w:szCs w:val="28"/>
          <w:u w:val="single"/>
        </w:rPr>
        <w:t xml:space="preserve">      </w:t>
      </w:r>
      <w:r>
        <w:rPr>
          <w:rFonts w:hint="eastAsia" w:cs="仿宋_GB2312"/>
          <w:sz w:val="28"/>
          <w:szCs w:val="28"/>
        </w:rPr>
        <w:t>个月向甲方提出续租要求；在同等条件下，乙方对租赁房屋有优先承租权。</w:t>
      </w:r>
    </w:p>
    <w:p>
      <w:pPr>
        <w:wordWrap w:val="0"/>
        <w:spacing w:line="480" w:lineRule="exact"/>
        <w:ind w:firstLine="600"/>
        <w:rPr>
          <w:sz w:val="28"/>
          <w:szCs w:val="28"/>
        </w:rPr>
      </w:pPr>
      <w:r>
        <w:rPr>
          <w:rFonts w:hint="eastAsia" w:cs="仿宋_GB2312"/>
          <w:sz w:val="28"/>
          <w:szCs w:val="28"/>
        </w:rPr>
        <w:t>甲、乙双方就续租达成协议的，应重新订立合同，并到房屋租赁主管机关重新登记备案。</w:t>
      </w:r>
    </w:p>
    <w:p>
      <w:pPr>
        <w:wordWrap w:val="0"/>
        <w:spacing w:line="480" w:lineRule="exact"/>
        <w:ind w:firstLine="562" w:firstLineChars="200"/>
        <w:rPr>
          <w:sz w:val="28"/>
          <w:szCs w:val="28"/>
        </w:rPr>
      </w:pPr>
      <w:r>
        <w:rPr>
          <w:rFonts w:hint="eastAsia" w:cs="仿宋_GB2312"/>
          <w:b/>
          <w:bCs/>
          <w:sz w:val="28"/>
          <w:szCs w:val="28"/>
        </w:rPr>
        <w:t>第二十二条</w:t>
      </w:r>
      <w:r>
        <w:rPr>
          <w:rFonts w:hint="eastAsia" w:cs="仿宋_GB2312"/>
          <w:sz w:val="28"/>
          <w:szCs w:val="28"/>
        </w:rPr>
        <w:t xml:space="preserve">  甲乙双方应当签订《深圳市房屋租赁安全管理责任书》。甲方提供的出租房屋应符合安全使用的标准和条件，不存在任何安全隐患。出租房屋的建筑、消防设备、燃气设施、电力设施、出入口和通道等应符合市政府规定的安全生产、消防、治安、环保、卫生等管理规定或标准。乙方应严格按照政府职能部门规定的安全、消防、治安、环保、卫生等管理规定或标准使用出租房屋，并有义务保证出租房屋在使用中不存在任何安全隐患。本合同约定的各项条款，甲乙双方均须自觉履行，如有一方违约，按合同约定承担相应违约责任。</w:t>
      </w:r>
    </w:p>
    <w:p>
      <w:pPr>
        <w:wordWrap w:val="0"/>
        <w:spacing w:line="480" w:lineRule="exact"/>
        <w:rPr>
          <w:sz w:val="28"/>
          <w:szCs w:val="28"/>
        </w:rPr>
      </w:pPr>
      <w:r>
        <w:rPr>
          <w:rFonts w:hint="eastAsia" w:cs="仿宋_GB2312"/>
          <w:sz w:val="28"/>
          <w:szCs w:val="28"/>
        </w:rPr>
        <w:t xml:space="preserve">    </w:t>
      </w:r>
      <w:r>
        <w:rPr>
          <w:rFonts w:hint="eastAsia" w:cs="仿宋_GB2312"/>
          <w:b/>
          <w:bCs/>
          <w:sz w:val="28"/>
          <w:szCs w:val="28"/>
        </w:rPr>
        <w:t xml:space="preserve">第二十三条 </w:t>
      </w:r>
      <w:r>
        <w:rPr>
          <w:rFonts w:hint="eastAsia" w:cs="仿宋_GB2312"/>
          <w:sz w:val="28"/>
          <w:szCs w:val="28"/>
        </w:rPr>
        <w:t xml:space="preserve"> 甲、乙双方可就本合同未尽事宜在附页中另行约定；附页之内容作为本合同的一部分，经双方签章后与本合同具有同等效力。</w:t>
      </w:r>
    </w:p>
    <w:p>
      <w:pPr>
        <w:wordWrap w:val="0"/>
        <w:spacing w:line="480" w:lineRule="exact"/>
        <w:ind w:firstLine="555"/>
        <w:rPr>
          <w:sz w:val="28"/>
          <w:szCs w:val="28"/>
        </w:rPr>
      </w:pPr>
      <w:r>
        <w:rPr>
          <w:rFonts w:hint="eastAsia" w:cs="仿宋_GB2312"/>
          <w:sz w:val="28"/>
          <w:szCs w:val="28"/>
        </w:rPr>
        <w:t>甲、乙双方在租赁期间对本合同内容达成变更协议的，双方须在变更协议成立后三十日内到原房屋租赁登记备案机关登记备案。</w:t>
      </w:r>
    </w:p>
    <w:p>
      <w:pPr>
        <w:wordWrap w:val="0"/>
        <w:spacing w:line="480" w:lineRule="exact"/>
        <w:ind w:firstLine="555"/>
        <w:rPr>
          <w:rFonts w:cs="仿宋_GB2312"/>
          <w:sz w:val="28"/>
          <w:szCs w:val="28"/>
        </w:rPr>
      </w:pPr>
      <w:r>
        <w:rPr>
          <w:rFonts w:hint="eastAsia" w:cs="仿宋_GB2312"/>
          <w:b/>
          <w:bCs/>
          <w:sz w:val="28"/>
          <w:szCs w:val="28"/>
        </w:rPr>
        <w:t>第二十四条</w:t>
      </w:r>
      <w:r>
        <w:rPr>
          <w:rFonts w:hint="eastAsia" w:cs="仿宋_GB2312"/>
          <w:sz w:val="28"/>
          <w:szCs w:val="28"/>
        </w:rPr>
        <w:t xml:space="preserve">  甲、乙双方就本合同发生的纠纷，应通过协商解决；协商解决不成的，可提请房屋租赁主管机关调解或向：</w:t>
      </w:r>
    </w:p>
    <w:p>
      <w:pPr>
        <w:wordWrap w:val="0"/>
        <w:spacing w:line="480" w:lineRule="exact"/>
        <w:ind w:firstLine="555"/>
        <w:rPr>
          <w:rFonts w:cs="仿宋_GB2312"/>
          <w:sz w:val="28"/>
          <w:szCs w:val="28"/>
        </w:rPr>
      </w:pPr>
      <w:r>
        <w:rPr>
          <w:rFonts w:hint="eastAsia" w:cs="仿宋_GB2312"/>
          <w:sz w:val="28"/>
          <w:szCs w:val="28"/>
        </w:rPr>
        <w:t xml:space="preserve">   □深圳国际仲裁院申请仲裁；</w:t>
      </w:r>
    </w:p>
    <w:p>
      <w:pPr>
        <w:wordWrap w:val="0"/>
        <w:spacing w:line="480" w:lineRule="exact"/>
        <w:ind w:firstLine="555"/>
        <w:rPr>
          <w:rFonts w:cs="仿宋_GB2312"/>
          <w:sz w:val="28"/>
          <w:szCs w:val="28"/>
        </w:rPr>
      </w:pPr>
      <w:r>
        <w:rPr>
          <w:rFonts w:hint="eastAsia" w:cs="仿宋_GB2312"/>
          <w:sz w:val="28"/>
          <w:szCs w:val="28"/>
        </w:rPr>
        <w:t xml:space="preserve">   □深圳市仲裁委员会申请仲裁；</w:t>
      </w:r>
    </w:p>
    <w:p>
      <w:pPr>
        <w:wordWrap w:val="0"/>
        <w:spacing w:line="480" w:lineRule="exact"/>
        <w:ind w:firstLine="555"/>
        <w:rPr>
          <w:rFonts w:cs="仿宋_GB2312"/>
          <w:sz w:val="28"/>
          <w:szCs w:val="28"/>
        </w:rPr>
      </w:pPr>
      <w:r>
        <w:rPr>
          <w:rFonts w:hint="eastAsia" w:cs="仿宋_GB2312"/>
          <w:sz w:val="28"/>
          <w:szCs w:val="28"/>
        </w:rPr>
        <w:t xml:space="preserve">   □租赁房屋所在地的人民法院提起诉讼。</w:t>
      </w:r>
    </w:p>
    <w:p>
      <w:pPr>
        <w:wordWrap w:val="0"/>
        <w:spacing w:line="480" w:lineRule="exact"/>
        <w:ind w:firstLine="555"/>
        <w:rPr>
          <w:rFonts w:cs="仿宋_GB2312"/>
          <w:sz w:val="28"/>
          <w:szCs w:val="28"/>
        </w:rPr>
      </w:pPr>
      <w:r>
        <w:rPr>
          <w:rFonts w:hint="eastAsia" w:cs="仿宋_GB2312"/>
          <w:sz w:val="28"/>
          <w:szCs w:val="28"/>
        </w:rPr>
        <w:t xml:space="preserve"> （以上纠纷解决方式由双方协商选择一种，并在相应□内打“√”）</w:t>
      </w:r>
    </w:p>
    <w:p>
      <w:pPr>
        <w:wordWrap w:val="0"/>
        <w:spacing w:line="480" w:lineRule="exact"/>
        <w:ind w:firstLine="555"/>
        <w:rPr>
          <w:sz w:val="28"/>
          <w:szCs w:val="28"/>
        </w:rPr>
      </w:pPr>
      <w:r>
        <w:rPr>
          <w:rFonts w:hint="eastAsia" w:cs="仿宋_GB2312"/>
          <w:b/>
          <w:bCs/>
          <w:sz w:val="28"/>
          <w:szCs w:val="28"/>
        </w:rPr>
        <w:t>第二十五条</w:t>
      </w:r>
      <w:r>
        <w:rPr>
          <w:rFonts w:hint="eastAsia" w:cs="仿宋_GB2312"/>
          <w:sz w:val="28"/>
          <w:szCs w:val="28"/>
        </w:rPr>
        <w:t xml:space="preserve">  甲乙双方约定以下通信地址为双方通知或文件的送达地址：</w:t>
      </w:r>
    </w:p>
    <w:p>
      <w:pPr>
        <w:wordWrap w:val="0"/>
        <w:spacing w:line="480" w:lineRule="exact"/>
        <w:ind w:firstLine="600"/>
        <w:rPr>
          <w:sz w:val="28"/>
          <w:szCs w:val="28"/>
          <w:u w:val="single"/>
        </w:rPr>
      </w:pPr>
      <w:r>
        <w:rPr>
          <w:rFonts w:hint="eastAsia" w:cs="仿宋_GB2312"/>
          <w:sz w:val="28"/>
          <w:szCs w:val="28"/>
        </w:rPr>
        <w:t>甲方送达地址：</w:t>
      </w:r>
      <w:r>
        <w:rPr>
          <w:rFonts w:hint="eastAsia" w:cs="仿宋_GB2312"/>
          <w:sz w:val="28"/>
          <w:szCs w:val="28"/>
          <w:u w:val="single"/>
        </w:rPr>
        <w:t xml:space="preserve">                                      </w:t>
      </w:r>
    </w:p>
    <w:p>
      <w:pPr>
        <w:wordWrap w:val="0"/>
        <w:spacing w:line="480" w:lineRule="exact"/>
        <w:ind w:firstLine="600"/>
        <w:rPr>
          <w:sz w:val="28"/>
          <w:szCs w:val="28"/>
        </w:rPr>
      </w:pPr>
      <w:r>
        <w:rPr>
          <w:rFonts w:hint="eastAsia" w:cs="仿宋_GB2312"/>
          <w:sz w:val="28"/>
          <w:szCs w:val="28"/>
        </w:rPr>
        <w:t>乙方送达地址：</w:t>
      </w:r>
      <w:r>
        <w:rPr>
          <w:rFonts w:hint="eastAsia" w:cs="仿宋_GB2312"/>
          <w:sz w:val="28"/>
          <w:szCs w:val="28"/>
          <w:u w:val="single"/>
        </w:rPr>
        <w:t xml:space="preserve">                                      </w:t>
      </w:r>
    </w:p>
    <w:p>
      <w:pPr>
        <w:wordWrap w:val="0"/>
        <w:spacing w:line="480" w:lineRule="exact"/>
        <w:ind w:firstLine="600"/>
        <w:rPr>
          <w:sz w:val="28"/>
          <w:szCs w:val="28"/>
        </w:rPr>
      </w:pPr>
      <w:r>
        <w:rPr>
          <w:rFonts w:hint="eastAsia" w:cs="仿宋_GB2312"/>
          <w:sz w:val="28"/>
          <w:szCs w:val="28"/>
        </w:rPr>
        <w:t>如上述地址未约定的，以双方当事人签署合同的通信地址作为送达地址。</w:t>
      </w:r>
    </w:p>
    <w:p>
      <w:pPr>
        <w:wordWrap w:val="0"/>
        <w:spacing w:line="480" w:lineRule="exact"/>
        <w:ind w:firstLine="600"/>
        <w:rPr>
          <w:sz w:val="28"/>
          <w:szCs w:val="28"/>
        </w:rPr>
      </w:pPr>
      <w:r>
        <w:rPr>
          <w:rFonts w:hint="eastAsia" w:cs="仿宋_GB2312"/>
          <w:sz w:val="28"/>
          <w:szCs w:val="28"/>
        </w:rPr>
        <w:t>送达地址未经书面变更通知，一直有效。一方给另一方的通知或文件按送达地址邮寄视为送达。如按上述地址邮寄文件被邮政部门退回的，退回之日视为送达之日。</w:t>
      </w:r>
    </w:p>
    <w:p>
      <w:pPr>
        <w:wordWrap w:val="0"/>
        <w:spacing w:line="480" w:lineRule="exact"/>
        <w:ind w:firstLine="600"/>
        <w:rPr>
          <w:sz w:val="28"/>
          <w:szCs w:val="28"/>
        </w:rPr>
      </w:pPr>
      <w:r>
        <w:rPr>
          <w:rFonts w:hint="eastAsia" w:cs="仿宋_GB2312"/>
          <w:b/>
          <w:bCs/>
          <w:sz w:val="28"/>
          <w:szCs w:val="28"/>
        </w:rPr>
        <w:t xml:space="preserve">第二十六条 </w:t>
      </w:r>
      <w:r>
        <w:rPr>
          <w:rFonts w:hint="eastAsia" w:cs="仿宋_GB2312"/>
          <w:sz w:val="28"/>
          <w:szCs w:val="28"/>
        </w:rPr>
        <w:t>本合同自签订之时起生效。</w:t>
      </w:r>
    </w:p>
    <w:p>
      <w:pPr>
        <w:wordWrap w:val="0"/>
        <w:spacing w:line="480" w:lineRule="exact"/>
        <w:ind w:firstLine="560" w:firstLineChars="200"/>
        <w:rPr>
          <w:sz w:val="28"/>
          <w:szCs w:val="28"/>
        </w:rPr>
      </w:pPr>
      <w:r>
        <w:rPr>
          <w:rFonts w:hint="eastAsia" w:cs="仿宋_GB2312"/>
          <w:sz w:val="28"/>
          <w:szCs w:val="28"/>
        </w:rPr>
        <w:t>甲、乙双方应自签订本合同之日起三十日内到房屋租赁主管机关办理房屋租赁登记备案手续。</w:t>
      </w:r>
    </w:p>
    <w:p>
      <w:pPr>
        <w:wordWrap w:val="0"/>
        <w:spacing w:line="480" w:lineRule="exact"/>
        <w:ind w:firstLine="600"/>
        <w:rPr>
          <w:rFonts w:cs="仿宋_GB2312"/>
          <w:sz w:val="28"/>
          <w:szCs w:val="28"/>
        </w:rPr>
      </w:pPr>
      <w:r>
        <w:rPr>
          <w:rFonts w:hint="eastAsia" w:cs="仿宋_GB2312"/>
          <w:b/>
          <w:bCs/>
          <w:sz w:val="28"/>
          <w:szCs w:val="28"/>
        </w:rPr>
        <w:t>第二十七条</w:t>
      </w:r>
      <w:r>
        <w:rPr>
          <w:rFonts w:hint="eastAsia" w:cs="仿宋_GB2312"/>
          <w:sz w:val="28"/>
          <w:szCs w:val="28"/>
        </w:rPr>
        <w:t xml:space="preserve"> 本合同以中文文本为正本。        </w:t>
      </w:r>
    </w:p>
    <w:p>
      <w:pPr>
        <w:wordWrap w:val="0"/>
        <w:spacing w:line="480" w:lineRule="exact"/>
        <w:ind w:firstLine="600"/>
        <w:rPr>
          <w:sz w:val="28"/>
          <w:szCs w:val="28"/>
        </w:rPr>
      </w:pPr>
      <w:r>
        <w:rPr>
          <w:rFonts w:hint="eastAsia" w:cs="仿宋_GB2312"/>
          <w:b/>
          <w:bCs/>
          <w:sz w:val="28"/>
          <w:szCs w:val="28"/>
        </w:rPr>
        <w:t>第二十八条</w:t>
      </w:r>
      <w:r>
        <w:rPr>
          <w:rFonts w:hint="eastAsia" w:cs="仿宋_GB2312"/>
          <w:sz w:val="28"/>
          <w:szCs w:val="28"/>
        </w:rPr>
        <w:t xml:space="preserve"> 本合同一式</w:t>
      </w:r>
      <w:r>
        <w:rPr>
          <w:rFonts w:hint="eastAsia" w:cs="仿宋_GB2312"/>
          <w:sz w:val="28"/>
          <w:szCs w:val="28"/>
          <w:u w:val="single"/>
        </w:rPr>
        <w:t xml:space="preserve">    </w:t>
      </w:r>
      <w:r>
        <w:rPr>
          <w:rFonts w:hint="eastAsia" w:cs="仿宋_GB2312"/>
          <w:sz w:val="28"/>
          <w:szCs w:val="28"/>
        </w:rPr>
        <w:t>份，甲方执</w:t>
      </w:r>
      <w:r>
        <w:rPr>
          <w:rFonts w:hint="eastAsia" w:cs="仿宋_GB2312"/>
          <w:sz w:val="28"/>
          <w:szCs w:val="28"/>
          <w:u w:val="single"/>
        </w:rPr>
        <w:t xml:space="preserve">    </w:t>
      </w:r>
      <w:r>
        <w:rPr>
          <w:rFonts w:hint="eastAsia" w:cs="仿宋_GB2312"/>
          <w:sz w:val="28"/>
          <w:szCs w:val="28"/>
        </w:rPr>
        <w:t>份，乙方执</w:t>
      </w:r>
      <w:r>
        <w:rPr>
          <w:rFonts w:hint="eastAsia" w:cs="仿宋_GB2312"/>
          <w:sz w:val="28"/>
          <w:szCs w:val="28"/>
          <w:u w:val="single"/>
        </w:rPr>
        <w:t xml:space="preserve">    </w:t>
      </w:r>
      <w:r>
        <w:rPr>
          <w:rFonts w:hint="eastAsia" w:cs="仿宋_GB2312"/>
          <w:sz w:val="28"/>
          <w:szCs w:val="28"/>
        </w:rPr>
        <w:t>份，合同登记机关执</w:t>
      </w:r>
      <w:r>
        <w:rPr>
          <w:rFonts w:hint="eastAsia" w:cs="仿宋_GB2312"/>
          <w:sz w:val="28"/>
          <w:szCs w:val="28"/>
          <w:u w:val="single"/>
        </w:rPr>
        <w:t xml:space="preserve">    </w:t>
      </w:r>
      <w:r>
        <w:rPr>
          <w:rFonts w:hint="eastAsia" w:cs="仿宋_GB2312"/>
          <w:sz w:val="28"/>
          <w:szCs w:val="28"/>
        </w:rPr>
        <w:t>份，有关部门执</w:t>
      </w:r>
      <w:r>
        <w:rPr>
          <w:rFonts w:hint="eastAsia" w:cs="仿宋_GB2312"/>
          <w:sz w:val="28"/>
          <w:szCs w:val="28"/>
          <w:u w:val="single"/>
        </w:rPr>
        <w:t xml:space="preserve">    </w:t>
      </w:r>
      <w:r>
        <w:rPr>
          <w:rFonts w:hint="eastAsia" w:cs="仿宋_GB2312"/>
          <w:sz w:val="28"/>
          <w:szCs w:val="28"/>
        </w:rPr>
        <w:t>份。</w:t>
      </w:r>
    </w:p>
    <w:p>
      <w:pPr>
        <w:wordWrap w:val="0"/>
        <w:spacing w:line="480" w:lineRule="exact"/>
        <w:rPr>
          <w:sz w:val="28"/>
          <w:szCs w:val="28"/>
        </w:rPr>
      </w:pPr>
      <w:r>
        <w:rPr>
          <w:rFonts w:hint="eastAsia" w:cs="仿宋_GB2312"/>
          <w:sz w:val="28"/>
          <w:szCs w:val="28"/>
        </w:rPr>
        <w:t xml:space="preserve">  </w:t>
      </w:r>
    </w:p>
    <w:p>
      <w:pPr>
        <w:wordWrap w:val="0"/>
        <w:rPr>
          <w:sz w:val="28"/>
          <w:szCs w:val="28"/>
        </w:rPr>
      </w:pPr>
    </w:p>
    <w:p>
      <w:pPr>
        <w:wordWrap w:val="0"/>
        <w:rPr>
          <w:sz w:val="28"/>
          <w:szCs w:val="28"/>
        </w:rPr>
      </w:pPr>
    </w:p>
    <w:p>
      <w:pPr>
        <w:wordWrap w:val="0"/>
        <w:rPr>
          <w:sz w:val="28"/>
          <w:szCs w:val="28"/>
        </w:rPr>
      </w:pPr>
    </w:p>
    <w:p>
      <w:pPr>
        <w:wordWrap w:val="0"/>
        <w:rPr>
          <w:sz w:val="28"/>
          <w:szCs w:val="28"/>
        </w:rPr>
      </w:pPr>
      <w:r>
        <w:rPr>
          <w:rFonts w:hint="eastAsia" w:cs="仿宋_GB2312"/>
          <w:sz w:val="28"/>
          <w:szCs w:val="28"/>
        </w:rPr>
        <w:t>甲方（签章）：</w:t>
      </w:r>
    </w:p>
    <w:p>
      <w:pPr>
        <w:wordWrap w:val="0"/>
        <w:spacing w:line="460" w:lineRule="atLeast"/>
        <w:rPr>
          <w:sz w:val="28"/>
          <w:szCs w:val="28"/>
        </w:rPr>
      </w:pPr>
      <w:r>
        <w:rPr>
          <w:rFonts w:hint="eastAsia" w:cs="仿宋_GB2312"/>
          <w:sz w:val="28"/>
          <w:szCs w:val="28"/>
        </w:rPr>
        <w:t>法定代表人：</w:t>
      </w:r>
    </w:p>
    <w:p>
      <w:pPr>
        <w:wordWrap w:val="0"/>
        <w:spacing w:line="460" w:lineRule="atLeast"/>
        <w:rPr>
          <w:sz w:val="28"/>
          <w:szCs w:val="28"/>
        </w:rPr>
      </w:pPr>
      <w:r>
        <w:rPr>
          <w:rFonts w:hint="eastAsia" w:cs="仿宋_GB2312"/>
          <w:sz w:val="28"/>
          <w:szCs w:val="28"/>
        </w:rPr>
        <w:t>联系电话：</w:t>
      </w:r>
    </w:p>
    <w:p>
      <w:pPr>
        <w:wordWrap w:val="0"/>
        <w:spacing w:line="460" w:lineRule="atLeast"/>
        <w:rPr>
          <w:sz w:val="28"/>
          <w:szCs w:val="28"/>
        </w:rPr>
      </w:pPr>
      <w:r>
        <w:rPr>
          <w:rFonts w:hint="eastAsia" w:cs="仿宋_GB2312"/>
          <w:sz w:val="28"/>
          <w:szCs w:val="28"/>
        </w:rPr>
        <w:t>银行帐号：</w:t>
      </w:r>
    </w:p>
    <w:p>
      <w:pPr>
        <w:wordWrap w:val="0"/>
        <w:spacing w:line="460" w:lineRule="atLeast"/>
        <w:rPr>
          <w:sz w:val="28"/>
          <w:szCs w:val="28"/>
        </w:rPr>
      </w:pPr>
      <w:r>
        <w:rPr>
          <w:rFonts w:hint="eastAsia" w:cs="仿宋_GB2312"/>
          <w:sz w:val="28"/>
          <w:szCs w:val="28"/>
        </w:rPr>
        <w:t xml:space="preserve">委托代理人（签章）：       </w:t>
      </w:r>
      <w:r>
        <w:rPr>
          <w:rFonts w:hint="eastAsia" w:cs="仿宋_GB2312"/>
          <w:sz w:val="28"/>
          <w:szCs w:val="28"/>
          <w:lang w:val="en-US"/>
        </w:rPr>
        <w:t xml:space="preserve"> </w:t>
      </w:r>
      <w:r>
        <w:rPr>
          <w:rFonts w:hint="eastAsia" w:cs="仿宋_GB2312"/>
          <w:sz w:val="28"/>
          <w:szCs w:val="28"/>
        </w:rPr>
        <w:t xml:space="preserve">       </w:t>
      </w:r>
      <w:r>
        <w:rPr>
          <w:rFonts w:hint="eastAsia" w:cs="仿宋_GB2312"/>
          <w:sz w:val="28"/>
          <w:szCs w:val="28"/>
          <w:u w:val="single"/>
        </w:rPr>
        <w:t xml:space="preserve">      </w:t>
      </w:r>
      <w:r>
        <w:rPr>
          <w:rFonts w:hint="eastAsia" w:cs="仿宋_GB2312"/>
          <w:sz w:val="28"/>
          <w:szCs w:val="28"/>
        </w:rPr>
        <w:t>年</w:t>
      </w:r>
      <w:r>
        <w:rPr>
          <w:rFonts w:hint="eastAsia" w:cs="仿宋_GB2312"/>
          <w:sz w:val="28"/>
          <w:szCs w:val="28"/>
          <w:u w:val="single"/>
        </w:rPr>
        <w:t xml:space="preserve">      </w:t>
      </w:r>
      <w:r>
        <w:rPr>
          <w:rFonts w:hint="eastAsia" w:cs="仿宋_GB2312"/>
          <w:sz w:val="28"/>
          <w:szCs w:val="28"/>
        </w:rPr>
        <w:t>月</w:t>
      </w:r>
      <w:r>
        <w:rPr>
          <w:rFonts w:hint="eastAsia" w:cs="仿宋_GB2312"/>
          <w:sz w:val="28"/>
          <w:szCs w:val="28"/>
          <w:u w:val="single"/>
        </w:rPr>
        <w:t xml:space="preserve">     </w:t>
      </w:r>
      <w:r>
        <w:rPr>
          <w:rFonts w:hint="eastAsia" w:cs="仿宋_GB2312"/>
          <w:sz w:val="28"/>
          <w:szCs w:val="28"/>
        </w:rPr>
        <w:t>日</w:t>
      </w:r>
    </w:p>
    <w:p>
      <w:pPr>
        <w:wordWrap w:val="0"/>
        <w:rPr>
          <w:sz w:val="28"/>
          <w:szCs w:val="28"/>
        </w:rPr>
      </w:pPr>
      <w:r>
        <w:rPr>
          <w:rFonts w:hint="eastAsia" w:cs="仿宋_GB2312"/>
          <w:sz w:val="28"/>
          <w:szCs w:val="28"/>
        </w:rPr>
        <w:t xml:space="preserve">  </w:t>
      </w:r>
    </w:p>
    <w:p>
      <w:pPr>
        <w:wordWrap w:val="0"/>
        <w:rPr>
          <w:sz w:val="28"/>
          <w:szCs w:val="28"/>
        </w:rPr>
      </w:pPr>
    </w:p>
    <w:p>
      <w:pPr>
        <w:wordWrap w:val="0"/>
        <w:rPr>
          <w:sz w:val="28"/>
          <w:szCs w:val="28"/>
        </w:rPr>
      </w:pPr>
    </w:p>
    <w:p>
      <w:pPr>
        <w:wordWrap w:val="0"/>
        <w:rPr>
          <w:sz w:val="28"/>
          <w:szCs w:val="28"/>
        </w:rPr>
      </w:pPr>
    </w:p>
    <w:p>
      <w:pPr>
        <w:wordWrap w:val="0"/>
        <w:rPr>
          <w:sz w:val="28"/>
          <w:szCs w:val="28"/>
        </w:rPr>
      </w:pPr>
      <w:r>
        <w:rPr>
          <w:rFonts w:hint="eastAsia" w:cs="仿宋_GB2312"/>
          <w:sz w:val="28"/>
          <w:szCs w:val="28"/>
        </w:rPr>
        <w:t>乙方（签章）：</w:t>
      </w:r>
    </w:p>
    <w:p>
      <w:pPr>
        <w:wordWrap w:val="0"/>
        <w:spacing w:line="460" w:lineRule="atLeast"/>
        <w:rPr>
          <w:rFonts w:cs="仿宋_GB2312"/>
          <w:sz w:val="28"/>
          <w:szCs w:val="28"/>
        </w:rPr>
      </w:pPr>
      <w:r>
        <w:rPr>
          <w:rFonts w:hint="eastAsia" w:cs="仿宋_GB2312"/>
          <w:sz w:val="28"/>
          <w:szCs w:val="28"/>
        </w:rPr>
        <w:t xml:space="preserve">法定代表人：    </w:t>
      </w:r>
    </w:p>
    <w:p>
      <w:pPr>
        <w:wordWrap w:val="0"/>
        <w:spacing w:line="460" w:lineRule="atLeast"/>
        <w:rPr>
          <w:sz w:val="28"/>
          <w:szCs w:val="28"/>
        </w:rPr>
      </w:pPr>
      <w:r>
        <w:rPr>
          <w:rFonts w:hint="eastAsia" w:cs="仿宋_GB2312"/>
          <w:sz w:val="28"/>
          <w:szCs w:val="28"/>
        </w:rPr>
        <w:t>联系电话：</w:t>
      </w:r>
    </w:p>
    <w:p>
      <w:pPr>
        <w:wordWrap w:val="0"/>
        <w:spacing w:line="460" w:lineRule="atLeast"/>
        <w:rPr>
          <w:sz w:val="28"/>
          <w:szCs w:val="28"/>
        </w:rPr>
      </w:pPr>
      <w:r>
        <w:rPr>
          <w:rFonts w:hint="eastAsia" w:cs="仿宋_GB2312"/>
          <w:sz w:val="28"/>
          <w:szCs w:val="28"/>
        </w:rPr>
        <w:t>银行帐号：</w:t>
      </w:r>
    </w:p>
    <w:p>
      <w:pPr>
        <w:wordWrap w:val="0"/>
        <w:spacing w:line="460" w:lineRule="atLeast"/>
        <w:rPr>
          <w:rFonts w:ascii="仿宋_GB2312" w:eastAsia="仿宋_GB2312"/>
          <w:sz w:val="28"/>
          <w:szCs w:val="28"/>
        </w:rPr>
      </w:pPr>
      <w:r>
        <w:rPr>
          <w:rFonts w:hint="eastAsia" w:cs="仿宋_GB2312"/>
          <w:sz w:val="28"/>
          <w:szCs w:val="28"/>
        </w:rPr>
        <w:t xml:space="preserve">委托代理人（签章）：        </w:t>
      </w:r>
      <w:r>
        <w:rPr>
          <w:rFonts w:hint="eastAsia" w:cs="仿宋_GB2312"/>
          <w:sz w:val="28"/>
          <w:szCs w:val="28"/>
          <w:lang w:val="en-US"/>
        </w:rPr>
        <w:t xml:space="preserve">  </w:t>
      </w:r>
      <w:r>
        <w:rPr>
          <w:rFonts w:hint="eastAsia" w:cs="仿宋_GB2312"/>
          <w:sz w:val="28"/>
          <w:szCs w:val="28"/>
        </w:rPr>
        <w:t xml:space="preserve">     </w:t>
      </w:r>
      <w:r>
        <w:rPr>
          <w:rFonts w:hint="eastAsia" w:cs="仿宋_GB2312"/>
          <w:sz w:val="28"/>
          <w:szCs w:val="28"/>
          <w:u w:val="single"/>
        </w:rPr>
        <w:t xml:space="preserve">      </w:t>
      </w:r>
      <w:r>
        <w:rPr>
          <w:rFonts w:hint="eastAsia" w:cs="仿宋_GB2312"/>
          <w:sz w:val="28"/>
          <w:szCs w:val="28"/>
        </w:rPr>
        <w:t>年</w:t>
      </w:r>
      <w:r>
        <w:rPr>
          <w:rFonts w:hint="eastAsia" w:cs="仿宋_GB2312"/>
          <w:sz w:val="28"/>
          <w:szCs w:val="28"/>
          <w:u w:val="single"/>
        </w:rPr>
        <w:t xml:space="preserve">      </w:t>
      </w:r>
      <w:r>
        <w:rPr>
          <w:rFonts w:hint="eastAsia" w:cs="仿宋_GB2312"/>
          <w:sz w:val="28"/>
          <w:szCs w:val="28"/>
        </w:rPr>
        <w:t>月</w:t>
      </w:r>
      <w:r>
        <w:rPr>
          <w:rFonts w:hint="eastAsia" w:cs="仿宋_GB2312"/>
          <w:sz w:val="28"/>
          <w:szCs w:val="28"/>
          <w:u w:val="single"/>
        </w:rPr>
        <w:t xml:space="preserve">     </w:t>
      </w:r>
      <w:r>
        <w:rPr>
          <w:rFonts w:hint="eastAsia" w:cs="仿宋_GB2312"/>
          <w:sz w:val="28"/>
          <w:szCs w:val="28"/>
        </w:rPr>
        <w:t>日</w:t>
      </w:r>
    </w:p>
    <w:p>
      <w:pPr>
        <w:wordWrap w:val="0"/>
        <w:rPr>
          <w:rFonts w:ascii="仿宋_GB2312" w:eastAsia="仿宋_GB2312"/>
          <w:sz w:val="28"/>
          <w:szCs w:val="28"/>
        </w:rPr>
      </w:pPr>
    </w:p>
    <w:p>
      <w:pPr>
        <w:wordWrap w:val="0"/>
        <w:rPr>
          <w:rFonts w:ascii="仿宋_GB2312" w:eastAsia="仿宋_GB2312"/>
          <w:sz w:val="28"/>
          <w:szCs w:val="28"/>
        </w:rPr>
      </w:pPr>
    </w:p>
    <w:p>
      <w:pPr>
        <w:wordWrap w:val="0"/>
        <w:rPr>
          <w:rFonts w:ascii="仿宋_GB2312" w:eastAsia="仿宋_GB2312"/>
          <w:b/>
          <w:bCs/>
          <w:sz w:val="44"/>
          <w:szCs w:val="44"/>
        </w:rPr>
      </w:pPr>
      <w:r>
        <w:rPr>
          <w:rFonts w:hint="eastAsia" w:ascii="仿宋_GB2312" w:eastAsia="仿宋_GB2312" w:cs="仿宋_GB2312"/>
          <w:b/>
          <w:bCs/>
          <w:sz w:val="44"/>
          <w:szCs w:val="44"/>
        </w:rPr>
        <w:t>（附页）</w:t>
      </w:r>
    </w:p>
    <w:p>
      <w:pPr>
        <w:wordWrap w:val="0"/>
        <w:spacing w:line="520" w:lineRule="exact"/>
        <w:ind w:firstLine="562" w:firstLineChars="200"/>
        <w:rPr>
          <w:rFonts w:cs="仿宋_GB2312"/>
          <w:b/>
          <w:sz w:val="28"/>
          <w:szCs w:val="28"/>
        </w:rPr>
      </w:pPr>
      <w:r>
        <w:rPr>
          <w:rFonts w:cs="仿宋_GB2312"/>
          <w:b/>
          <w:sz w:val="28"/>
          <w:szCs w:val="28"/>
        </w:rPr>
        <w:t>一</w:t>
      </w:r>
      <w:r>
        <w:rPr>
          <w:rFonts w:hint="eastAsia" w:cs="仿宋_GB2312"/>
          <w:b/>
          <w:sz w:val="28"/>
          <w:szCs w:val="28"/>
        </w:rPr>
        <w:t>、房屋公摊面积：</w:t>
      </w:r>
    </w:p>
    <w:p>
      <w:pPr>
        <w:wordWrap w:val="0"/>
        <w:spacing w:line="520" w:lineRule="exact"/>
        <w:ind w:firstLine="560" w:firstLineChars="200"/>
        <w:rPr>
          <w:rFonts w:cs="仿宋_GB2312"/>
          <w:sz w:val="28"/>
          <w:szCs w:val="28"/>
        </w:rPr>
      </w:pPr>
      <w:r>
        <w:rPr>
          <w:rFonts w:hint="eastAsia" w:cs="仿宋_GB2312"/>
          <w:sz w:val="28"/>
          <w:szCs w:val="28"/>
        </w:rPr>
        <w:t>甲方保证不新增公摊面积，出租面积以产权证面积为准（无产权证的以建筑图纸或第三方机构测量面积为准），单个产权建筑出租时，发生分租的，分租总面积不得超过产权证面积。</w:t>
      </w:r>
    </w:p>
    <w:p>
      <w:pPr>
        <w:wordWrap w:val="0"/>
        <w:spacing w:line="520" w:lineRule="exact"/>
        <w:ind w:firstLine="562" w:firstLineChars="200"/>
        <w:rPr>
          <w:rFonts w:cs="仿宋_GB2312"/>
          <w:b/>
          <w:sz w:val="28"/>
          <w:szCs w:val="28"/>
        </w:rPr>
      </w:pPr>
      <w:r>
        <w:rPr>
          <w:rFonts w:hint="eastAsia" w:cs="仿宋_GB2312"/>
          <w:b/>
          <w:sz w:val="28"/>
          <w:szCs w:val="28"/>
        </w:rPr>
        <w:t>二、其他费用补充说明：</w:t>
      </w:r>
    </w:p>
    <w:p>
      <w:pPr>
        <w:wordWrap w:val="0"/>
        <w:spacing w:line="520" w:lineRule="exact"/>
        <w:ind w:firstLine="560" w:firstLineChars="200"/>
        <w:rPr>
          <w:rFonts w:cs="仿宋_GB2312"/>
          <w:sz w:val="28"/>
          <w:szCs w:val="28"/>
        </w:rPr>
      </w:pPr>
      <w:r>
        <w:rPr>
          <w:rFonts w:hint="eastAsia" w:cs="仿宋_GB2312"/>
          <w:sz w:val="28"/>
          <w:szCs w:val="28"/>
        </w:rPr>
        <w:t>乙方使用房屋产生的水电费，按国家法定标准缴纳，其他乙方须支付的费用如物业费等，应在 《相关费用明细表》（附件1）中列明，未列明与房屋有关的其他费用甲方不得擅自收取。</w:t>
      </w:r>
    </w:p>
    <w:p>
      <w:pPr>
        <w:wordWrap w:val="0"/>
        <w:spacing w:line="520" w:lineRule="exact"/>
        <w:ind w:firstLine="562" w:firstLineChars="200"/>
        <w:rPr>
          <w:rFonts w:cs="仿宋_GB2312"/>
          <w:b/>
          <w:sz w:val="28"/>
          <w:szCs w:val="28"/>
        </w:rPr>
      </w:pPr>
      <w:r>
        <w:rPr>
          <w:rFonts w:cs="仿宋_GB2312"/>
          <w:b/>
          <w:sz w:val="28"/>
          <w:szCs w:val="28"/>
        </w:rPr>
        <w:t>三</w:t>
      </w:r>
      <w:r>
        <w:rPr>
          <w:rFonts w:hint="eastAsia" w:cs="仿宋_GB2312"/>
          <w:b/>
          <w:sz w:val="28"/>
          <w:szCs w:val="28"/>
        </w:rPr>
        <w:t>、转租分租补充说明：</w:t>
      </w:r>
    </w:p>
    <w:p>
      <w:pPr>
        <w:wordWrap w:val="0"/>
        <w:spacing w:line="520" w:lineRule="exact"/>
        <w:ind w:firstLine="560" w:firstLineChars="200"/>
        <w:rPr>
          <w:rFonts w:cs="仿宋_GB2312"/>
          <w:sz w:val="28"/>
          <w:szCs w:val="28"/>
        </w:rPr>
      </w:pPr>
      <w:r>
        <w:rPr>
          <w:rFonts w:hint="eastAsia" w:cs="仿宋_GB2312"/>
          <w:sz w:val="28"/>
          <w:szCs w:val="28"/>
        </w:rPr>
        <w:t>（一）未经甲方书面同意，乙方不得以任何形式转租、分租房屋，不得以借用、共用、联营或承包等名义变相将房屋转租或分租给他人，不得将本合同项下的权利和义务转让给他人，也不得将该房屋与他人承租的房屋交换使用。</w:t>
      </w:r>
    </w:p>
    <w:p>
      <w:pPr>
        <w:wordWrap w:val="0"/>
        <w:spacing w:line="520" w:lineRule="exact"/>
        <w:ind w:firstLine="560" w:firstLineChars="200"/>
        <w:rPr>
          <w:rFonts w:cs="仿宋_GB2312"/>
          <w:sz w:val="28"/>
          <w:szCs w:val="28"/>
        </w:rPr>
      </w:pPr>
      <w:r>
        <w:rPr>
          <w:rFonts w:hint="eastAsia" w:cs="仿宋_GB2312"/>
          <w:sz w:val="28"/>
          <w:szCs w:val="28"/>
        </w:rPr>
        <w:t>（二）经甲方书面同意转租分租的，乙方应当将与次承租人签订的《房屋租赁合同》提交甲方进行备案，转租分租期限和面积不得超过本合同约定的期限和面积，且次承租方不得再次转租分租。</w:t>
      </w:r>
    </w:p>
    <w:p>
      <w:pPr>
        <w:wordWrap w:val="0"/>
        <w:spacing w:line="520" w:lineRule="exact"/>
        <w:ind w:firstLine="560" w:firstLineChars="200"/>
        <w:rPr>
          <w:rFonts w:cs="仿宋_GB2312"/>
          <w:sz w:val="28"/>
          <w:szCs w:val="28"/>
        </w:rPr>
      </w:pPr>
      <w:r>
        <w:rPr>
          <w:rFonts w:hint="eastAsia" w:cs="仿宋_GB2312"/>
          <w:sz w:val="28"/>
          <w:szCs w:val="28"/>
        </w:rPr>
        <w:t>（三）经甲方书面同意转租分租的，乙方与次承租人签订的《房屋租赁合同》中不得新增公摊面积，水电费的约定应与本合同一致。</w:t>
      </w:r>
    </w:p>
    <w:p>
      <w:pPr>
        <w:wordWrap w:val="0"/>
        <w:spacing w:line="520" w:lineRule="exact"/>
        <w:ind w:firstLine="560" w:firstLineChars="200"/>
        <w:rPr>
          <w:rFonts w:cs="仿宋_GB2312"/>
          <w:sz w:val="28"/>
          <w:szCs w:val="28"/>
        </w:rPr>
      </w:pPr>
      <w:r>
        <w:rPr>
          <w:rFonts w:hint="eastAsia" w:cs="仿宋_GB2312"/>
          <w:sz w:val="28"/>
          <w:szCs w:val="28"/>
        </w:rPr>
        <w:t>（四）乙方未经甲方同意，违反上述转租分租约定情形的，甲方可以直接没收租赁保证金，解除合同，同时要求乙方支付违约金人民币</w:t>
      </w:r>
      <w:r>
        <w:rPr>
          <w:rFonts w:hint="eastAsia" w:cs="仿宋_GB2312"/>
          <w:sz w:val="28"/>
          <w:szCs w:val="28"/>
          <w:u w:val="single"/>
        </w:rPr>
        <w:t xml:space="preserve">          </w:t>
      </w:r>
      <w:r>
        <w:rPr>
          <w:rFonts w:hint="eastAsia" w:cs="仿宋_GB2312"/>
          <w:sz w:val="28"/>
          <w:szCs w:val="28"/>
        </w:rPr>
        <w:t>元（大写：</w:t>
      </w:r>
      <w:r>
        <w:rPr>
          <w:rFonts w:hint="eastAsia" w:cs="仿宋_GB2312"/>
          <w:sz w:val="28"/>
          <w:szCs w:val="28"/>
          <w:u w:val="single"/>
        </w:rPr>
        <w:t xml:space="preserve">              </w:t>
      </w:r>
      <w:r>
        <w:rPr>
          <w:rFonts w:hint="eastAsia" w:cs="仿宋_GB2312"/>
          <w:sz w:val="28"/>
          <w:szCs w:val="28"/>
        </w:rPr>
        <w:t>元）。甲方有权要求乙方恢复房屋原装，造成甲方及相关方损失的一律由乙方自行承担。解除合同通知书一经合法送达，甲方有权申请单方解除合同登记（备案）。</w:t>
      </w:r>
    </w:p>
    <w:p>
      <w:pPr>
        <w:wordWrap w:val="0"/>
        <w:spacing w:line="520" w:lineRule="exact"/>
        <w:ind w:firstLine="562" w:firstLineChars="200"/>
        <w:rPr>
          <w:rFonts w:cs="仿宋_GB2312"/>
          <w:b/>
          <w:sz w:val="28"/>
          <w:szCs w:val="28"/>
        </w:rPr>
      </w:pPr>
      <w:r>
        <w:rPr>
          <w:rFonts w:hint="eastAsia" w:cs="仿宋_GB2312"/>
          <w:b/>
          <w:sz w:val="28"/>
          <w:szCs w:val="28"/>
        </w:rPr>
        <w:t>四、</w:t>
      </w:r>
      <w:r>
        <w:rPr>
          <w:rFonts w:hint="eastAsia" w:cs="仿宋_GB2312"/>
          <w:b/>
          <w:sz w:val="28"/>
          <w:szCs w:val="28"/>
          <w:u w:val="single"/>
        </w:rPr>
        <w:t xml:space="preserve">                                                             </w:t>
      </w:r>
      <w:r>
        <w:rPr>
          <w:rFonts w:hint="eastAsia" w:cs="仿宋_GB2312"/>
          <w:b/>
          <w:sz w:val="28"/>
          <w:szCs w:val="28"/>
        </w:rPr>
        <w:t xml:space="preserve"> </w:t>
      </w:r>
    </w:p>
    <w:p>
      <w:pPr>
        <w:wordWrap w:val="0"/>
        <w:spacing w:line="520" w:lineRule="exact"/>
        <w:ind w:firstLine="562" w:firstLineChars="200"/>
        <w:rPr>
          <w:rFonts w:cs="仿宋_GB2312"/>
          <w:b/>
          <w:sz w:val="28"/>
          <w:szCs w:val="28"/>
        </w:rPr>
      </w:pPr>
      <w:r>
        <w:rPr>
          <w:rFonts w:hint="eastAsia" w:cs="仿宋_GB2312"/>
          <w:b/>
          <w:sz w:val="28"/>
          <w:szCs w:val="28"/>
        </w:rPr>
        <w:t>五、其他</w:t>
      </w:r>
    </w:p>
    <w:p>
      <w:pPr>
        <w:wordWrap w:val="0"/>
        <w:spacing w:line="520" w:lineRule="exact"/>
        <w:ind w:firstLine="560" w:firstLineChars="200"/>
        <w:rPr>
          <w:rFonts w:cs="仿宋_GB2312"/>
          <w:sz w:val="28"/>
          <w:szCs w:val="28"/>
        </w:rPr>
      </w:pPr>
      <w:r>
        <w:rPr>
          <w:rFonts w:hint="eastAsia" w:cs="仿宋_GB2312"/>
          <w:sz w:val="28"/>
          <w:szCs w:val="28"/>
        </w:rPr>
        <w:t>甲、乙双方应自签订本合同之日起3日内，将《房屋租赁合同》及相关材料上传至光明招商网备案。甲、双方可就本合同未尽事宜在附页第四条中进行补充约定。本附页的相关条款及说明，为《房屋租赁合同》有效组成部分，与《房屋租赁合同》具有同等法律效力。甲乙双方在租赁期间对本合同达成变更协议的，双方须在变更协议后3日内，将变更协议及相关材料上传至光明招商网备案。</w:t>
      </w:r>
    </w:p>
    <w:p>
      <w:pPr>
        <w:spacing w:line="520" w:lineRule="exact"/>
        <w:rPr>
          <w:bCs/>
          <w:kern w:val="2"/>
          <w:sz w:val="24"/>
          <w:szCs w:val="24"/>
        </w:rPr>
      </w:pPr>
    </w:p>
    <w:p>
      <w:pPr>
        <w:spacing w:line="520" w:lineRule="exact"/>
        <w:rPr>
          <w:bCs/>
          <w:kern w:val="2"/>
          <w:sz w:val="24"/>
          <w:szCs w:val="24"/>
        </w:rPr>
      </w:pPr>
    </w:p>
    <w:p>
      <w:pPr>
        <w:spacing w:line="520" w:lineRule="exact"/>
        <w:rPr>
          <w:bCs/>
          <w:kern w:val="2"/>
          <w:sz w:val="24"/>
          <w:szCs w:val="24"/>
        </w:rPr>
      </w:pPr>
    </w:p>
    <w:p>
      <w:pPr>
        <w:spacing w:line="520" w:lineRule="exact"/>
        <w:rPr>
          <w:bCs/>
          <w:kern w:val="2"/>
          <w:sz w:val="24"/>
          <w:szCs w:val="24"/>
        </w:rPr>
      </w:pPr>
    </w:p>
    <w:p>
      <w:pPr>
        <w:spacing w:line="520" w:lineRule="exact"/>
        <w:rPr>
          <w:bCs/>
          <w:kern w:val="2"/>
          <w:sz w:val="24"/>
          <w:szCs w:val="24"/>
        </w:rPr>
      </w:pPr>
    </w:p>
    <w:p>
      <w:pPr>
        <w:wordWrap w:val="0"/>
        <w:spacing w:line="520" w:lineRule="exact"/>
        <w:rPr>
          <w:sz w:val="28"/>
          <w:szCs w:val="28"/>
        </w:rPr>
      </w:pPr>
      <w:r>
        <w:rPr>
          <w:rFonts w:hint="eastAsia" w:cs="仿宋_GB2312"/>
          <w:sz w:val="28"/>
          <w:szCs w:val="28"/>
        </w:rPr>
        <w:t>甲方（签章）：</w:t>
      </w:r>
    </w:p>
    <w:p>
      <w:pPr>
        <w:wordWrap w:val="0"/>
        <w:spacing w:line="520" w:lineRule="exact"/>
        <w:rPr>
          <w:sz w:val="28"/>
          <w:szCs w:val="28"/>
        </w:rPr>
      </w:pPr>
      <w:r>
        <w:rPr>
          <w:rFonts w:hint="eastAsia" w:cs="仿宋_GB2312"/>
          <w:sz w:val="28"/>
          <w:szCs w:val="28"/>
        </w:rPr>
        <w:t>法定代表人：</w:t>
      </w:r>
    </w:p>
    <w:p>
      <w:pPr>
        <w:wordWrap w:val="0"/>
        <w:spacing w:line="520" w:lineRule="exact"/>
        <w:rPr>
          <w:sz w:val="28"/>
          <w:szCs w:val="28"/>
        </w:rPr>
      </w:pPr>
      <w:r>
        <w:rPr>
          <w:rFonts w:hint="eastAsia" w:cs="仿宋_GB2312"/>
          <w:sz w:val="28"/>
          <w:szCs w:val="28"/>
        </w:rPr>
        <w:t>联系电话：</w:t>
      </w:r>
    </w:p>
    <w:p>
      <w:pPr>
        <w:wordWrap w:val="0"/>
        <w:spacing w:line="520" w:lineRule="exact"/>
        <w:rPr>
          <w:sz w:val="28"/>
          <w:szCs w:val="28"/>
        </w:rPr>
      </w:pPr>
      <w:r>
        <w:rPr>
          <w:rFonts w:hint="eastAsia" w:cs="仿宋_GB2312"/>
          <w:sz w:val="28"/>
          <w:szCs w:val="28"/>
        </w:rPr>
        <w:t xml:space="preserve">委托代理人（签章）：              </w:t>
      </w:r>
      <w:r>
        <w:rPr>
          <w:rFonts w:hint="eastAsia" w:cs="仿宋_GB2312"/>
          <w:sz w:val="28"/>
          <w:szCs w:val="28"/>
          <w:u w:val="single"/>
        </w:rPr>
        <w:t xml:space="preserve">      </w:t>
      </w:r>
      <w:r>
        <w:rPr>
          <w:rFonts w:hint="eastAsia" w:cs="仿宋_GB2312"/>
          <w:sz w:val="28"/>
          <w:szCs w:val="28"/>
        </w:rPr>
        <w:t>年</w:t>
      </w:r>
      <w:r>
        <w:rPr>
          <w:rFonts w:hint="eastAsia" w:cs="仿宋_GB2312"/>
          <w:sz w:val="28"/>
          <w:szCs w:val="28"/>
          <w:u w:val="single"/>
        </w:rPr>
        <w:t xml:space="preserve">      </w:t>
      </w:r>
      <w:r>
        <w:rPr>
          <w:rFonts w:hint="eastAsia" w:cs="仿宋_GB2312"/>
          <w:sz w:val="28"/>
          <w:szCs w:val="28"/>
        </w:rPr>
        <w:t>月</w:t>
      </w:r>
      <w:r>
        <w:rPr>
          <w:rFonts w:hint="eastAsia" w:cs="仿宋_GB2312"/>
          <w:sz w:val="28"/>
          <w:szCs w:val="28"/>
          <w:u w:val="single"/>
        </w:rPr>
        <w:t xml:space="preserve">     </w:t>
      </w:r>
      <w:r>
        <w:rPr>
          <w:rFonts w:hint="eastAsia" w:cs="仿宋_GB2312"/>
          <w:sz w:val="28"/>
          <w:szCs w:val="28"/>
        </w:rPr>
        <w:t>日</w:t>
      </w:r>
    </w:p>
    <w:p>
      <w:pPr>
        <w:wordWrap w:val="0"/>
        <w:spacing w:line="520" w:lineRule="exact"/>
        <w:rPr>
          <w:rFonts w:cs="仿宋_GB2312"/>
          <w:sz w:val="28"/>
          <w:szCs w:val="28"/>
        </w:rPr>
      </w:pPr>
    </w:p>
    <w:p>
      <w:pPr>
        <w:wordWrap w:val="0"/>
        <w:spacing w:line="520" w:lineRule="exact"/>
        <w:rPr>
          <w:rFonts w:cs="仿宋_GB2312"/>
          <w:sz w:val="28"/>
          <w:szCs w:val="28"/>
        </w:rPr>
      </w:pPr>
    </w:p>
    <w:p>
      <w:pPr>
        <w:wordWrap w:val="0"/>
        <w:spacing w:line="520" w:lineRule="exact"/>
        <w:rPr>
          <w:rFonts w:cs="仿宋_GB2312"/>
          <w:sz w:val="28"/>
          <w:szCs w:val="28"/>
        </w:rPr>
      </w:pPr>
    </w:p>
    <w:p>
      <w:pPr>
        <w:wordWrap w:val="0"/>
        <w:spacing w:line="520" w:lineRule="exact"/>
        <w:rPr>
          <w:sz w:val="28"/>
          <w:szCs w:val="28"/>
        </w:rPr>
      </w:pPr>
      <w:r>
        <w:rPr>
          <w:rFonts w:hint="eastAsia" w:cs="仿宋_GB2312"/>
          <w:sz w:val="28"/>
          <w:szCs w:val="28"/>
        </w:rPr>
        <w:t>乙方（签章）：</w:t>
      </w:r>
    </w:p>
    <w:p>
      <w:pPr>
        <w:wordWrap w:val="0"/>
        <w:spacing w:line="520" w:lineRule="exact"/>
        <w:rPr>
          <w:rFonts w:cs="仿宋_GB2312"/>
          <w:sz w:val="28"/>
          <w:szCs w:val="28"/>
        </w:rPr>
      </w:pPr>
      <w:r>
        <w:rPr>
          <w:rFonts w:hint="eastAsia" w:cs="仿宋_GB2312"/>
          <w:sz w:val="28"/>
          <w:szCs w:val="28"/>
        </w:rPr>
        <w:t xml:space="preserve">法定代表人：    </w:t>
      </w:r>
    </w:p>
    <w:p>
      <w:pPr>
        <w:wordWrap w:val="0"/>
        <w:spacing w:line="520" w:lineRule="exact"/>
        <w:rPr>
          <w:sz w:val="28"/>
          <w:szCs w:val="28"/>
        </w:rPr>
      </w:pPr>
      <w:r>
        <w:rPr>
          <w:rFonts w:hint="eastAsia" w:cs="仿宋_GB2312"/>
          <w:sz w:val="28"/>
          <w:szCs w:val="28"/>
        </w:rPr>
        <w:t>联系电话：</w:t>
      </w:r>
    </w:p>
    <w:p>
      <w:pPr>
        <w:wordWrap w:val="0"/>
        <w:spacing w:line="520" w:lineRule="exact"/>
        <w:rPr>
          <w:rFonts w:ascii="仿宋_GB2312" w:eastAsia="仿宋_GB2312"/>
          <w:sz w:val="28"/>
          <w:szCs w:val="28"/>
        </w:rPr>
      </w:pPr>
      <w:r>
        <w:rPr>
          <w:rFonts w:hint="eastAsia" w:cs="仿宋_GB2312"/>
          <w:sz w:val="28"/>
          <w:szCs w:val="28"/>
        </w:rPr>
        <w:t xml:space="preserve">委托代理人（签章）：              </w:t>
      </w:r>
      <w:r>
        <w:rPr>
          <w:rFonts w:hint="eastAsia" w:cs="仿宋_GB2312"/>
          <w:sz w:val="28"/>
          <w:szCs w:val="28"/>
          <w:u w:val="single"/>
        </w:rPr>
        <w:t xml:space="preserve">      </w:t>
      </w:r>
      <w:r>
        <w:rPr>
          <w:rFonts w:hint="eastAsia" w:cs="仿宋_GB2312"/>
          <w:sz w:val="28"/>
          <w:szCs w:val="28"/>
        </w:rPr>
        <w:t>年</w:t>
      </w:r>
      <w:r>
        <w:rPr>
          <w:rFonts w:hint="eastAsia" w:cs="仿宋_GB2312"/>
          <w:sz w:val="28"/>
          <w:szCs w:val="28"/>
          <w:u w:val="single"/>
        </w:rPr>
        <w:t xml:space="preserve">      </w:t>
      </w:r>
      <w:r>
        <w:rPr>
          <w:rFonts w:hint="eastAsia" w:cs="仿宋_GB2312"/>
          <w:sz w:val="28"/>
          <w:szCs w:val="28"/>
        </w:rPr>
        <w:t>月</w:t>
      </w:r>
      <w:r>
        <w:rPr>
          <w:rFonts w:hint="eastAsia" w:cs="仿宋_GB2312"/>
          <w:sz w:val="28"/>
          <w:szCs w:val="28"/>
          <w:u w:val="single"/>
        </w:rPr>
        <w:t xml:space="preserve">     </w:t>
      </w:r>
      <w:r>
        <w:rPr>
          <w:rFonts w:hint="eastAsia" w:cs="仿宋_GB2312"/>
          <w:sz w:val="28"/>
          <w:szCs w:val="28"/>
        </w:rPr>
        <w:t>日</w:t>
      </w:r>
    </w:p>
    <w:p>
      <w:pPr>
        <w:spacing w:line="360" w:lineRule="auto"/>
        <w:rPr>
          <w:bCs/>
          <w:kern w:val="2"/>
          <w:sz w:val="24"/>
          <w:szCs w:val="24"/>
        </w:rPr>
      </w:pPr>
    </w:p>
    <w:p>
      <w:pPr>
        <w:spacing w:line="360" w:lineRule="auto"/>
        <w:rPr>
          <w:bCs/>
          <w:kern w:val="2"/>
          <w:sz w:val="24"/>
          <w:szCs w:val="24"/>
        </w:rPr>
      </w:pPr>
    </w:p>
    <w:p>
      <w:pPr>
        <w:spacing w:line="360" w:lineRule="auto"/>
        <w:rPr>
          <w:bCs/>
          <w:kern w:val="2"/>
          <w:sz w:val="24"/>
          <w:szCs w:val="24"/>
        </w:rPr>
      </w:pPr>
    </w:p>
    <w:p>
      <w:pPr>
        <w:spacing w:line="360" w:lineRule="auto"/>
        <w:rPr>
          <w:bCs/>
          <w:kern w:val="2"/>
          <w:sz w:val="24"/>
          <w:szCs w:val="24"/>
        </w:rPr>
      </w:pPr>
    </w:p>
    <w:p>
      <w:pPr>
        <w:spacing w:line="360" w:lineRule="auto"/>
        <w:rPr>
          <w:bCs/>
          <w:kern w:val="2"/>
          <w:sz w:val="24"/>
          <w:szCs w:val="24"/>
        </w:rPr>
      </w:pPr>
    </w:p>
    <w:p>
      <w:pPr>
        <w:spacing w:line="360" w:lineRule="auto"/>
        <w:rPr>
          <w:bCs/>
          <w:kern w:val="2"/>
          <w:sz w:val="24"/>
          <w:szCs w:val="24"/>
        </w:rPr>
      </w:pPr>
    </w:p>
    <w:p>
      <w:pPr>
        <w:spacing w:line="360" w:lineRule="auto"/>
        <w:rPr>
          <w:bCs/>
          <w:kern w:val="2"/>
          <w:sz w:val="24"/>
          <w:szCs w:val="24"/>
        </w:rPr>
      </w:pPr>
    </w:p>
    <w:p>
      <w:pPr>
        <w:spacing w:line="360" w:lineRule="auto"/>
        <w:rPr>
          <w:bCs/>
          <w:kern w:val="2"/>
          <w:sz w:val="24"/>
          <w:szCs w:val="24"/>
        </w:rPr>
      </w:pPr>
    </w:p>
    <w:p>
      <w:pPr>
        <w:spacing w:line="360" w:lineRule="auto"/>
        <w:rPr>
          <w:bCs/>
          <w:kern w:val="2"/>
          <w:sz w:val="24"/>
          <w:szCs w:val="24"/>
        </w:rPr>
      </w:pPr>
      <w:r>
        <w:rPr>
          <w:rFonts w:hint="eastAsia"/>
          <w:bCs/>
          <w:kern w:val="2"/>
          <w:sz w:val="24"/>
          <w:szCs w:val="24"/>
        </w:rPr>
        <w:t>附件1：</w:t>
      </w:r>
    </w:p>
    <w:p>
      <w:pPr>
        <w:spacing w:line="360" w:lineRule="auto"/>
        <w:jc w:val="center"/>
        <w:rPr>
          <w:b/>
          <w:bCs/>
          <w:kern w:val="2"/>
          <w:sz w:val="32"/>
          <w:szCs w:val="32"/>
        </w:rPr>
      </w:pPr>
      <w:r>
        <w:rPr>
          <w:rFonts w:hint="eastAsia"/>
          <w:b/>
          <w:bCs/>
          <w:kern w:val="2"/>
          <w:sz w:val="32"/>
          <w:szCs w:val="32"/>
        </w:rPr>
        <w:t>《相关费用明细表》</w:t>
      </w:r>
    </w:p>
    <w:p>
      <w:pPr>
        <w:spacing w:line="360" w:lineRule="auto"/>
        <w:rPr>
          <w:rFonts w:ascii="仿宋_GB2312" w:eastAsia="仿宋_GB2312"/>
          <w:kern w:val="2"/>
          <w:sz w:val="24"/>
          <w:szCs w:val="24"/>
        </w:rPr>
      </w:pPr>
    </w:p>
    <w:p>
      <w:pPr>
        <w:spacing w:line="360" w:lineRule="auto"/>
        <w:ind w:firstLine="480" w:firstLineChars="200"/>
        <w:rPr>
          <w:rFonts w:ascii="仿宋_GB2312" w:eastAsia="仿宋_GB2312"/>
          <w:kern w:val="2"/>
          <w:sz w:val="24"/>
          <w:szCs w:val="24"/>
        </w:rPr>
      </w:pPr>
      <w:r>
        <w:rPr>
          <w:rFonts w:hint="eastAsia" w:ascii="仿宋_GB2312" w:eastAsia="仿宋_GB2312"/>
          <w:kern w:val="2"/>
          <w:sz w:val="24"/>
          <w:szCs w:val="24"/>
        </w:rPr>
        <w:t xml:space="preserve">租赁期内，甲方负责支付法律、法规规定应缴纳的房屋租赁相关税费，以及： </w:t>
      </w:r>
    </w:p>
    <w:p>
      <w:pPr>
        <w:spacing w:line="360" w:lineRule="auto"/>
        <w:rPr>
          <w:rFonts w:ascii="仿宋_GB2312" w:eastAsia="仿宋_GB2312"/>
          <w:kern w:val="2"/>
          <w:sz w:val="24"/>
          <w:szCs w:val="24"/>
        </w:rPr>
      </w:pPr>
      <w:r>
        <w:rPr>
          <w:rFonts w:hint="eastAsia" w:ascii="仿宋_GB2312" w:eastAsia="仿宋_GB2312"/>
          <w:kern w:val="2"/>
          <w:sz w:val="24"/>
          <w:szCs w:val="24"/>
          <w:u w:val="single"/>
        </w:rPr>
        <w:t xml:space="preserve">                                  </w:t>
      </w:r>
      <w:r>
        <w:rPr>
          <w:rFonts w:hint="eastAsia" w:ascii="仿宋_GB2312" w:eastAsia="仿宋_GB2312"/>
          <w:kern w:val="2"/>
          <w:sz w:val="24"/>
          <w:szCs w:val="24"/>
        </w:rPr>
        <w:t xml:space="preserve">等各项费用。 </w:t>
      </w:r>
    </w:p>
    <w:p>
      <w:pPr>
        <w:spacing w:line="360" w:lineRule="auto"/>
        <w:ind w:firstLine="480" w:firstLineChars="200"/>
        <w:rPr>
          <w:rFonts w:ascii="仿宋_GB2312" w:eastAsia="仿宋_GB2312"/>
          <w:kern w:val="2"/>
          <w:sz w:val="24"/>
          <w:szCs w:val="24"/>
          <w:u w:val="single"/>
        </w:rPr>
      </w:pPr>
      <w:r>
        <w:rPr>
          <w:rFonts w:hint="eastAsia" w:ascii="仿宋_GB2312" w:eastAsia="仿宋_GB2312"/>
          <w:kern w:val="2"/>
          <w:sz w:val="24"/>
          <w:szCs w:val="24"/>
        </w:rPr>
        <w:t xml:space="preserve">乙方负责支付因使用房屋产生的水费、电费以及： </w:t>
      </w:r>
      <w:r>
        <w:rPr>
          <w:rFonts w:hint="eastAsia" w:ascii="仿宋_GB2312" w:eastAsia="仿宋_GB2312"/>
          <w:kern w:val="2"/>
          <w:sz w:val="24"/>
          <w:szCs w:val="24"/>
          <w:u w:val="single"/>
        </w:rPr>
        <w:t xml:space="preserve">                     </w:t>
      </w:r>
    </w:p>
    <w:p>
      <w:pPr>
        <w:spacing w:line="360" w:lineRule="auto"/>
        <w:rPr>
          <w:rFonts w:ascii="仿宋_GB2312" w:eastAsia="仿宋_GB2312"/>
          <w:kern w:val="2"/>
          <w:sz w:val="24"/>
          <w:szCs w:val="24"/>
        </w:rPr>
      </w:pPr>
      <w:r>
        <w:rPr>
          <w:rFonts w:hint="eastAsia" w:ascii="仿宋_GB2312" w:eastAsia="仿宋_GB2312"/>
          <w:kern w:val="2"/>
          <w:sz w:val="24"/>
          <w:szCs w:val="24"/>
          <w:u w:val="single"/>
        </w:rPr>
        <w:t xml:space="preserve">                                  </w:t>
      </w:r>
      <w:r>
        <w:rPr>
          <w:rFonts w:hint="eastAsia" w:ascii="仿宋_GB2312" w:eastAsia="仿宋_GB2312"/>
          <w:kern w:val="2"/>
          <w:sz w:val="24"/>
          <w:szCs w:val="24"/>
        </w:rPr>
        <w:t xml:space="preserve">等各项费用。收费标准如下： </w:t>
      </w:r>
    </w:p>
    <w:tbl>
      <w:tblPr>
        <w:tblStyle w:val="13"/>
        <w:tblW w:w="8522" w:type="dxa"/>
        <w:tblInd w:w="6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992"/>
        <w:gridCol w:w="1134"/>
        <w:gridCol w:w="1276"/>
        <w:gridCol w:w="1276"/>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spacing w:line="360" w:lineRule="auto"/>
              <w:jc w:val="center"/>
              <w:rPr>
                <w:rFonts w:ascii="仿宋_GB2312" w:eastAsia="仿宋_GB2312"/>
                <w:kern w:val="2"/>
                <w:sz w:val="24"/>
                <w:szCs w:val="24"/>
              </w:rPr>
            </w:pPr>
            <w:r>
              <w:rPr>
                <w:rFonts w:hint="eastAsia" w:ascii="仿宋_GB2312" w:eastAsia="仿宋_GB2312"/>
                <w:kern w:val="2"/>
                <w:sz w:val="24"/>
                <w:szCs w:val="24"/>
              </w:rPr>
              <w:t>序号</w:t>
            </w:r>
          </w:p>
        </w:tc>
        <w:tc>
          <w:tcPr>
            <w:tcW w:w="1276" w:type="dxa"/>
            <w:vAlign w:val="center"/>
          </w:tcPr>
          <w:p>
            <w:pPr>
              <w:spacing w:line="360" w:lineRule="auto"/>
              <w:jc w:val="center"/>
              <w:rPr>
                <w:rFonts w:ascii="仿宋_GB2312" w:eastAsia="仿宋_GB2312"/>
                <w:kern w:val="2"/>
                <w:sz w:val="24"/>
                <w:szCs w:val="24"/>
              </w:rPr>
            </w:pPr>
            <w:r>
              <w:rPr>
                <w:rFonts w:hint="eastAsia" w:ascii="仿宋_GB2312" w:eastAsia="仿宋_GB2312"/>
                <w:kern w:val="2"/>
                <w:sz w:val="24"/>
                <w:szCs w:val="24"/>
              </w:rPr>
              <w:t>收费项目</w:t>
            </w:r>
          </w:p>
        </w:tc>
        <w:tc>
          <w:tcPr>
            <w:tcW w:w="992" w:type="dxa"/>
            <w:vAlign w:val="center"/>
          </w:tcPr>
          <w:p>
            <w:pPr>
              <w:spacing w:line="360" w:lineRule="auto"/>
              <w:jc w:val="center"/>
              <w:rPr>
                <w:rFonts w:ascii="仿宋_GB2312" w:eastAsia="仿宋_GB2312"/>
                <w:kern w:val="2"/>
                <w:sz w:val="24"/>
                <w:szCs w:val="24"/>
              </w:rPr>
            </w:pPr>
            <w:r>
              <w:rPr>
                <w:rFonts w:hint="eastAsia" w:ascii="仿宋_GB2312" w:eastAsia="仿宋_GB2312"/>
                <w:kern w:val="2"/>
                <w:sz w:val="24"/>
                <w:szCs w:val="24"/>
              </w:rPr>
              <w:t>单位</w:t>
            </w:r>
          </w:p>
        </w:tc>
        <w:tc>
          <w:tcPr>
            <w:tcW w:w="1134" w:type="dxa"/>
            <w:vAlign w:val="center"/>
          </w:tcPr>
          <w:p>
            <w:pPr>
              <w:spacing w:line="360" w:lineRule="auto"/>
              <w:jc w:val="center"/>
              <w:rPr>
                <w:rFonts w:ascii="仿宋_GB2312" w:eastAsia="仿宋_GB2312"/>
                <w:kern w:val="2"/>
                <w:sz w:val="24"/>
                <w:szCs w:val="24"/>
              </w:rPr>
            </w:pPr>
            <w:r>
              <w:rPr>
                <w:rFonts w:hint="eastAsia" w:ascii="仿宋_GB2312" w:eastAsia="仿宋_GB2312"/>
                <w:kern w:val="2"/>
                <w:sz w:val="24"/>
                <w:szCs w:val="24"/>
              </w:rPr>
              <w:t>单价（元）</w:t>
            </w:r>
          </w:p>
        </w:tc>
        <w:tc>
          <w:tcPr>
            <w:tcW w:w="1276" w:type="dxa"/>
            <w:vAlign w:val="center"/>
          </w:tcPr>
          <w:p>
            <w:pPr>
              <w:spacing w:line="360" w:lineRule="auto"/>
              <w:jc w:val="center"/>
              <w:rPr>
                <w:rFonts w:ascii="仿宋_GB2312" w:eastAsia="仿宋_GB2312"/>
                <w:kern w:val="2"/>
                <w:sz w:val="24"/>
                <w:szCs w:val="24"/>
              </w:rPr>
            </w:pPr>
            <w:r>
              <w:rPr>
                <w:rFonts w:hint="eastAsia" w:ascii="仿宋_GB2312" w:eastAsia="仿宋_GB2312"/>
                <w:kern w:val="2"/>
                <w:sz w:val="24"/>
                <w:szCs w:val="24"/>
              </w:rPr>
              <w:t>起计时间</w:t>
            </w:r>
          </w:p>
        </w:tc>
        <w:tc>
          <w:tcPr>
            <w:tcW w:w="1276" w:type="dxa"/>
            <w:vAlign w:val="center"/>
          </w:tcPr>
          <w:p>
            <w:pPr>
              <w:spacing w:line="360" w:lineRule="auto"/>
              <w:jc w:val="center"/>
              <w:rPr>
                <w:rFonts w:ascii="仿宋_GB2312" w:eastAsia="仿宋_GB2312"/>
                <w:kern w:val="2"/>
                <w:sz w:val="24"/>
                <w:szCs w:val="24"/>
              </w:rPr>
            </w:pPr>
            <w:r>
              <w:rPr>
                <w:rFonts w:hint="eastAsia" w:ascii="仿宋_GB2312" w:eastAsia="仿宋_GB2312"/>
                <w:kern w:val="2"/>
                <w:sz w:val="24"/>
                <w:szCs w:val="24"/>
              </w:rPr>
              <w:t>起计底数</w:t>
            </w:r>
          </w:p>
        </w:tc>
        <w:tc>
          <w:tcPr>
            <w:tcW w:w="1751" w:type="dxa"/>
            <w:vAlign w:val="center"/>
          </w:tcPr>
          <w:p>
            <w:pPr>
              <w:spacing w:line="360" w:lineRule="auto"/>
              <w:jc w:val="center"/>
              <w:rPr>
                <w:rFonts w:ascii="仿宋_GB2312" w:eastAsia="仿宋_GB2312"/>
                <w:kern w:val="2"/>
                <w:sz w:val="24"/>
                <w:szCs w:val="24"/>
              </w:rPr>
            </w:pPr>
            <w:r>
              <w:rPr>
                <w:rFonts w:hint="eastAsia" w:ascii="仿宋_GB2312" w:eastAsia="仿宋_GB2312"/>
                <w:kern w:val="2"/>
                <w:sz w:val="24"/>
                <w:szCs w:val="24"/>
              </w:rPr>
              <w:t>收费人/收费机构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line="360" w:lineRule="auto"/>
              <w:rPr>
                <w:rFonts w:ascii="仿宋_GB2312" w:eastAsia="仿宋_GB2312"/>
                <w:kern w:val="2"/>
                <w:sz w:val="24"/>
                <w:szCs w:val="24"/>
              </w:rPr>
            </w:pPr>
          </w:p>
        </w:tc>
        <w:tc>
          <w:tcPr>
            <w:tcW w:w="1276" w:type="dxa"/>
          </w:tcPr>
          <w:p>
            <w:pPr>
              <w:spacing w:line="360" w:lineRule="auto"/>
              <w:rPr>
                <w:rFonts w:ascii="仿宋_GB2312" w:eastAsia="仿宋_GB2312"/>
                <w:kern w:val="2"/>
                <w:sz w:val="24"/>
                <w:szCs w:val="24"/>
              </w:rPr>
            </w:pPr>
          </w:p>
        </w:tc>
        <w:tc>
          <w:tcPr>
            <w:tcW w:w="992" w:type="dxa"/>
          </w:tcPr>
          <w:p>
            <w:pPr>
              <w:spacing w:line="360" w:lineRule="auto"/>
              <w:rPr>
                <w:rFonts w:ascii="仿宋_GB2312" w:eastAsia="仿宋_GB2312"/>
                <w:kern w:val="2"/>
                <w:sz w:val="24"/>
                <w:szCs w:val="24"/>
              </w:rPr>
            </w:pPr>
          </w:p>
        </w:tc>
        <w:tc>
          <w:tcPr>
            <w:tcW w:w="1134" w:type="dxa"/>
          </w:tcPr>
          <w:p>
            <w:pPr>
              <w:spacing w:line="360" w:lineRule="auto"/>
              <w:rPr>
                <w:rFonts w:ascii="仿宋_GB2312" w:eastAsia="仿宋_GB2312"/>
                <w:kern w:val="2"/>
                <w:sz w:val="24"/>
                <w:szCs w:val="24"/>
              </w:rPr>
            </w:pPr>
          </w:p>
        </w:tc>
        <w:tc>
          <w:tcPr>
            <w:tcW w:w="1276" w:type="dxa"/>
          </w:tcPr>
          <w:p>
            <w:pPr>
              <w:spacing w:line="360" w:lineRule="auto"/>
              <w:rPr>
                <w:rFonts w:ascii="仿宋_GB2312" w:eastAsia="仿宋_GB2312"/>
                <w:kern w:val="2"/>
                <w:sz w:val="24"/>
                <w:szCs w:val="24"/>
              </w:rPr>
            </w:pPr>
          </w:p>
        </w:tc>
        <w:tc>
          <w:tcPr>
            <w:tcW w:w="1276" w:type="dxa"/>
          </w:tcPr>
          <w:p>
            <w:pPr>
              <w:spacing w:line="360" w:lineRule="auto"/>
              <w:rPr>
                <w:rFonts w:ascii="仿宋_GB2312" w:eastAsia="仿宋_GB2312"/>
                <w:kern w:val="2"/>
                <w:sz w:val="24"/>
                <w:szCs w:val="24"/>
              </w:rPr>
            </w:pPr>
          </w:p>
        </w:tc>
        <w:tc>
          <w:tcPr>
            <w:tcW w:w="1751" w:type="dxa"/>
          </w:tcPr>
          <w:p>
            <w:pPr>
              <w:spacing w:line="360" w:lineRule="auto"/>
              <w:rPr>
                <w:rFonts w:ascii="仿宋_GB2312"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line="360" w:lineRule="auto"/>
              <w:rPr>
                <w:rFonts w:ascii="仿宋_GB2312" w:eastAsia="仿宋_GB2312"/>
                <w:kern w:val="2"/>
                <w:sz w:val="24"/>
                <w:szCs w:val="24"/>
              </w:rPr>
            </w:pPr>
          </w:p>
        </w:tc>
        <w:tc>
          <w:tcPr>
            <w:tcW w:w="1276" w:type="dxa"/>
          </w:tcPr>
          <w:p>
            <w:pPr>
              <w:spacing w:line="360" w:lineRule="auto"/>
              <w:rPr>
                <w:rFonts w:ascii="仿宋_GB2312" w:eastAsia="仿宋_GB2312"/>
                <w:kern w:val="2"/>
                <w:sz w:val="24"/>
                <w:szCs w:val="24"/>
              </w:rPr>
            </w:pPr>
          </w:p>
        </w:tc>
        <w:tc>
          <w:tcPr>
            <w:tcW w:w="992" w:type="dxa"/>
          </w:tcPr>
          <w:p>
            <w:pPr>
              <w:spacing w:line="360" w:lineRule="auto"/>
              <w:rPr>
                <w:rFonts w:ascii="仿宋_GB2312" w:eastAsia="仿宋_GB2312"/>
                <w:kern w:val="2"/>
                <w:sz w:val="24"/>
                <w:szCs w:val="24"/>
              </w:rPr>
            </w:pPr>
          </w:p>
        </w:tc>
        <w:tc>
          <w:tcPr>
            <w:tcW w:w="1134" w:type="dxa"/>
          </w:tcPr>
          <w:p>
            <w:pPr>
              <w:spacing w:line="360" w:lineRule="auto"/>
              <w:rPr>
                <w:rFonts w:ascii="仿宋_GB2312" w:eastAsia="仿宋_GB2312"/>
                <w:kern w:val="2"/>
                <w:sz w:val="24"/>
                <w:szCs w:val="24"/>
              </w:rPr>
            </w:pPr>
          </w:p>
        </w:tc>
        <w:tc>
          <w:tcPr>
            <w:tcW w:w="1276" w:type="dxa"/>
          </w:tcPr>
          <w:p>
            <w:pPr>
              <w:spacing w:line="360" w:lineRule="auto"/>
              <w:rPr>
                <w:rFonts w:ascii="仿宋_GB2312" w:eastAsia="仿宋_GB2312"/>
                <w:kern w:val="2"/>
                <w:sz w:val="24"/>
                <w:szCs w:val="24"/>
              </w:rPr>
            </w:pPr>
          </w:p>
        </w:tc>
        <w:tc>
          <w:tcPr>
            <w:tcW w:w="1276" w:type="dxa"/>
          </w:tcPr>
          <w:p>
            <w:pPr>
              <w:spacing w:line="360" w:lineRule="auto"/>
              <w:rPr>
                <w:rFonts w:ascii="仿宋_GB2312" w:eastAsia="仿宋_GB2312"/>
                <w:kern w:val="2"/>
                <w:sz w:val="24"/>
                <w:szCs w:val="24"/>
              </w:rPr>
            </w:pPr>
          </w:p>
        </w:tc>
        <w:tc>
          <w:tcPr>
            <w:tcW w:w="1751" w:type="dxa"/>
          </w:tcPr>
          <w:p>
            <w:pPr>
              <w:spacing w:line="360" w:lineRule="auto"/>
              <w:rPr>
                <w:rFonts w:ascii="仿宋_GB2312"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line="360" w:lineRule="auto"/>
              <w:rPr>
                <w:rFonts w:ascii="仿宋_GB2312" w:eastAsia="仿宋_GB2312"/>
                <w:kern w:val="2"/>
                <w:sz w:val="24"/>
                <w:szCs w:val="24"/>
              </w:rPr>
            </w:pPr>
          </w:p>
        </w:tc>
        <w:tc>
          <w:tcPr>
            <w:tcW w:w="1276" w:type="dxa"/>
          </w:tcPr>
          <w:p>
            <w:pPr>
              <w:spacing w:line="360" w:lineRule="auto"/>
              <w:rPr>
                <w:rFonts w:ascii="仿宋_GB2312" w:eastAsia="仿宋_GB2312"/>
                <w:kern w:val="2"/>
                <w:sz w:val="24"/>
                <w:szCs w:val="24"/>
              </w:rPr>
            </w:pPr>
          </w:p>
        </w:tc>
        <w:tc>
          <w:tcPr>
            <w:tcW w:w="992" w:type="dxa"/>
          </w:tcPr>
          <w:p>
            <w:pPr>
              <w:spacing w:line="360" w:lineRule="auto"/>
              <w:rPr>
                <w:rFonts w:ascii="仿宋_GB2312" w:eastAsia="仿宋_GB2312"/>
                <w:kern w:val="2"/>
                <w:sz w:val="24"/>
                <w:szCs w:val="24"/>
              </w:rPr>
            </w:pPr>
          </w:p>
        </w:tc>
        <w:tc>
          <w:tcPr>
            <w:tcW w:w="1134" w:type="dxa"/>
          </w:tcPr>
          <w:p>
            <w:pPr>
              <w:spacing w:line="360" w:lineRule="auto"/>
              <w:rPr>
                <w:rFonts w:ascii="仿宋_GB2312" w:eastAsia="仿宋_GB2312"/>
                <w:kern w:val="2"/>
                <w:sz w:val="24"/>
                <w:szCs w:val="24"/>
              </w:rPr>
            </w:pPr>
          </w:p>
        </w:tc>
        <w:tc>
          <w:tcPr>
            <w:tcW w:w="1276" w:type="dxa"/>
          </w:tcPr>
          <w:p>
            <w:pPr>
              <w:spacing w:line="360" w:lineRule="auto"/>
              <w:rPr>
                <w:rFonts w:ascii="仿宋_GB2312" w:eastAsia="仿宋_GB2312"/>
                <w:kern w:val="2"/>
                <w:sz w:val="24"/>
                <w:szCs w:val="24"/>
              </w:rPr>
            </w:pPr>
          </w:p>
        </w:tc>
        <w:tc>
          <w:tcPr>
            <w:tcW w:w="1276" w:type="dxa"/>
          </w:tcPr>
          <w:p>
            <w:pPr>
              <w:spacing w:line="360" w:lineRule="auto"/>
              <w:rPr>
                <w:rFonts w:ascii="仿宋_GB2312" w:eastAsia="仿宋_GB2312"/>
                <w:kern w:val="2"/>
                <w:sz w:val="24"/>
                <w:szCs w:val="24"/>
              </w:rPr>
            </w:pPr>
          </w:p>
        </w:tc>
        <w:tc>
          <w:tcPr>
            <w:tcW w:w="1751" w:type="dxa"/>
          </w:tcPr>
          <w:p>
            <w:pPr>
              <w:spacing w:line="360" w:lineRule="auto"/>
              <w:rPr>
                <w:rFonts w:ascii="仿宋_GB2312"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line="360" w:lineRule="auto"/>
              <w:rPr>
                <w:rFonts w:ascii="仿宋_GB2312" w:eastAsia="仿宋_GB2312"/>
                <w:kern w:val="2"/>
                <w:sz w:val="24"/>
                <w:szCs w:val="24"/>
              </w:rPr>
            </w:pPr>
          </w:p>
        </w:tc>
        <w:tc>
          <w:tcPr>
            <w:tcW w:w="1276" w:type="dxa"/>
          </w:tcPr>
          <w:p>
            <w:pPr>
              <w:spacing w:line="360" w:lineRule="auto"/>
              <w:rPr>
                <w:rFonts w:ascii="仿宋_GB2312" w:eastAsia="仿宋_GB2312"/>
                <w:kern w:val="2"/>
                <w:sz w:val="24"/>
                <w:szCs w:val="24"/>
              </w:rPr>
            </w:pPr>
          </w:p>
        </w:tc>
        <w:tc>
          <w:tcPr>
            <w:tcW w:w="992" w:type="dxa"/>
          </w:tcPr>
          <w:p>
            <w:pPr>
              <w:spacing w:line="360" w:lineRule="auto"/>
              <w:rPr>
                <w:rFonts w:ascii="仿宋_GB2312" w:eastAsia="仿宋_GB2312"/>
                <w:kern w:val="2"/>
                <w:sz w:val="24"/>
                <w:szCs w:val="24"/>
              </w:rPr>
            </w:pPr>
          </w:p>
        </w:tc>
        <w:tc>
          <w:tcPr>
            <w:tcW w:w="1134" w:type="dxa"/>
          </w:tcPr>
          <w:p>
            <w:pPr>
              <w:spacing w:line="360" w:lineRule="auto"/>
              <w:rPr>
                <w:rFonts w:ascii="仿宋_GB2312" w:eastAsia="仿宋_GB2312"/>
                <w:kern w:val="2"/>
                <w:sz w:val="24"/>
                <w:szCs w:val="24"/>
              </w:rPr>
            </w:pPr>
          </w:p>
        </w:tc>
        <w:tc>
          <w:tcPr>
            <w:tcW w:w="1276" w:type="dxa"/>
          </w:tcPr>
          <w:p>
            <w:pPr>
              <w:spacing w:line="360" w:lineRule="auto"/>
              <w:rPr>
                <w:rFonts w:ascii="仿宋_GB2312" w:eastAsia="仿宋_GB2312"/>
                <w:kern w:val="2"/>
                <w:sz w:val="24"/>
                <w:szCs w:val="24"/>
              </w:rPr>
            </w:pPr>
          </w:p>
        </w:tc>
        <w:tc>
          <w:tcPr>
            <w:tcW w:w="1276" w:type="dxa"/>
          </w:tcPr>
          <w:p>
            <w:pPr>
              <w:spacing w:line="360" w:lineRule="auto"/>
              <w:rPr>
                <w:rFonts w:ascii="仿宋_GB2312" w:eastAsia="仿宋_GB2312"/>
                <w:kern w:val="2"/>
                <w:sz w:val="24"/>
                <w:szCs w:val="24"/>
              </w:rPr>
            </w:pPr>
          </w:p>
        </w:tc>
        <w:tc>
          <w:tcPr>
            <w:tcW w:w="1751" w:type="dxa"/>
          </w:tcPr>
          <w:p>
            <w:pPr>
              <w:spacing w:line="360" w:lineRule="auto"/>
              <w:rPr>
                <w:rFonts w:ascii="仿宋_GB2312"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line="360" w:lineRule="auto"/>
              <w:rPr>
                <w:rFonts w:ascii="仿宋_GB2312" w:eastAsia="仿宋_GB2312"/>
                <w:kern w:val="2"/>
                <w:sz w:val="24"/>
                <w:szCs w:val="24"/>
              </w:rPr>
            </w:pPr>
          </w:p>
        </w:tc>
        <w:tc>
          <w:tcPr>
            <w:tcW w:w="1276" w:type="dxa"/>
          </w:tcPr>
          <w:p>
            <w:pPr>
              <w:spacing w:line="360" w:lineRule="auto"/>
              <w:rPr>
                <w:rFonts w:ascii="仿宋_GB2312" w:eastAsia="仿宋_GB2312"/>
                <w:kern w:val="2"/>
                <w:sz w:val="24"/>
                <w:szCs w:val="24"/>
              </w:rPr>
            </w:pPr>
          </w:p>
        </w:tc>
        <w:tc>
          <w:tcPr>
            <w:tcW w:w="992" w:type="dxa"/>
          </w:tcPr>
          <w:p>
            <w:pPr>
              <w:spacing w:line="360" w:lineRule="auto"/>
              <w:rPr>
                <w:rFonts w:ascii="仿宋_GB2312" w:eastAsia="仿宋_GB2312"/>
                <w:kern w:val="2"/>
                <w:sz w:val="24"/>
                <w:szCs w:val="24"/>
              </w:rPr>
            </w:pPr>
          </w:p>
        </w:tc>
        <w:tc>
          <w:tcPr>
            <w:tcW w:w="1134" w:type="dxa"/>
          </w:tcPr>
          <w:p>
            <w:pPr>
              <w:spacing w:line="360" w:lineRule="auto"/>
              <w:rPr>
                <w:rFonts w:ascii="仿宋_GB2312" w:eastAsia="仿宋_GB2312"/>
                <w:kern w:val="2"/>
                <w:sz w:val="24"/>
                <w:szCs w:val="24"/>
              </w:rPr>
            </w:pPr>
          </w:p>
        </w:tc>
        <w:tc>
          <w:tcPr>
            <w:tcW w:w="1276" w:type="dxa"/>
          </w:tcPr>
          <w:p>
            <w:pPr>
              <w:spacing w:line="360" w:lineRule="auto"/>
              <w:rPr>
                <w:rFonts w:ascii="仿宋_GB2312" w:eastAsia="仿宋_GB2312"/>
                <w:kern w:val="2"/>
                <w:sz w:val="24"/>
                <w:szCs w:val="24"/>
              </w:rPr>
            </w:pPr>
          </w:p>
        </w:tc>
        <w:tc>
          <w:tcPr>
            <w:tcW w:w="1276" w:type="dxa"/>
          </w:tcPr>
          <w:p>
            <w:pPr>
              <w:spacing w:line="360" w:lineRule="auto"/>
              <w:rPr>
                <w:rFonts w:ascii="仿宋_GB2312" w:eastAsia="仿宋_GB2312"/>
                <w:kern w:val="2"/>
                <w:sz w:val="24"/>
                <w:szCs w:val="24"/>
              </w:rPr>
            </w:pPr>
          </w:p>
        </w:tc>
        <w:tc>
          <w:tcPr>
            <w:tcW w:w="1751" w:type="dxa"/>
          </w:tcPr>
          <w:p>
            <w:pPr>
              <w:spacing w:line="360" w:lineRule="auto"/>
              <w:rPr>
                <w:rFonts w:ascii="仿宋_GB2312" w:eastAsia="仿宋_GB2312"/>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line="360" w:lineRule="auto"/>
              <w:rPr>
                <w:rFonts w:ascii="仿宋_GB2312" w:eastAsia="仿宋_GB2312"/>
                <w:kern w:val="2"/>
                <w:sz w:val="24"/>
                <w:szCs w:val="24"/>
              </w:rPr>
            </w:pPr>
          </w:p>
        </w:tc>
        <w:tc>
          <w:tcPr>
            <w:tcW w:w="1276" w:type="dxa"/>
          </w:tcPr>
          <w:p>
            <w:pPr>
              <w:spacing w:line="360" w:lineRule="auto"/>
              <w:rPr>
                <w:rFonts w:ascii="仿宋_GB2312" w:eastAsia="仿宋_GB2312"/>
                <w:kern w:val="2"/>
                <w:sz w:val="24"/>
                <w:szCs w:val="24"/>
              </w:rPr>
            </w:pPr>
          </w:p>
        </w:tc>
        <w:tc>
          <w:tcPr>
            <w:tcW w:w="992" w:type="dxa"/>
          </w:tcPr>
          <w:p>
            <w:pPr>
              <w:spacing w:line="360" w:lineRule="auto"/>
              <w:rPr>
                <w:rFonts w:ascii="仿宋_GB2312" w:eastAsia="仿宋_GB2312"/>
                <w:kern w:val="2"/>
                <w:sz w:val="24"/>
                <w:szCs w:val="24"/>
              </w:rPr>
            </w:pPr>
          </w:p>
        </w:tc>
        <w:tc>
          <w:tcPr>
            <w:tcW w:w="1134" w:type="dxa"/>
          </w:tcPr>
          <w:p>
            <w:pPr>
              <w:spacing w:line="360" w:lineRule="auto"/>
              <w:rPr>
                <w:rFonts w:ascii="仿宋_GB2312" w:eastAsia="仿宋_GB2312"/>
                <w:kern w:val="2"/>
                <w:sz w:val="24"/>
                <w:szCs w:val="24"/>
              </w:rPr>
            </w:pPr>
          </w:p>
        </w:tc>
        <w:tc>
          <w:tcPr>
            <w:tcW w:w="1276" w:type="dxa"/>
          </w:tcPr>
          <w:p>
            <w:pPr>
              <w:spacing w:line="360" w:lineRule="auto"/>
              <w:rPr>
                <w:rFonts w:ascii="仿宋_GB2312" w:eastAsia="仿宋_GB2312"/>
                <w:kern w:val="2"/>
                <w:sz w:val="24"/>
                <w:szCs w:val="24"/>
              </w:rPr>
            </w:pPr>
          </w:p>
        </w:tc>
        <w:tc>
          <w:tcPr>
            <w:tcW w:w="1276" w:type="dxa"/>
          </w:tcPr>
          <w:p>
            <w:pPr>
              <w:spacing w:line="360" w:lineRule="auto"/>
              <w:rPr>
                <w:rFonts w:ascii="仿宋_GB2312" w:eastAsia="仿宋_GB2312"/>
                <w:kern w:val="2"/>
                <w:sz w:val="24"/>
                <w:szCs w:val="24"/>
              </w:rPr>
            </w:pPr>
          </w:p>
        </w:tc>
        <w:tc>
          <w:tcPr>
            <w:tcW w:w="1751" w:type="dxa"/>
          </w:tcPr>
          <w:p>
            <w:pPr>
              <w:spacing w:line="360" w:lineRule="auto"/>
              <w:rPr>
                <w:rFonts w:ascii="仿宋_GB2312" w:eastAsia="仿宋_GB2312"/>
                <w:kern w:val="2"/>
                <w:sz w:val="24"/>
                <w:szCs w:val="24"/>
              </w:rPr>
            </w:pPr>
          </w:p>
        </w:tc>
      </w:tr>
    </w:tbl>
    <w:p>
      <w:pPr>
        <w:spacing w:line="360" w:lineRule="auto"/>
        <w:jc w:val="center"/>
        <w:rPr>
          <w:rFonts w:ascii="仿宋_GB2312" w:eastAsia="仿宋_GB2312"/>
          <w:kern w:val="2"/>
          <w:sz w:val="24"/>
          <w:szCs w:val="24"/>
        </w:rPr>
      </w:pPr>
    </w:p>
    <w:p>
      <w:pPr>
        <w:spacing w:line="360" w:lineRule="auto"/>
        <w:ind w:firstLine="480" w:firstLineChars="200"/>
        <w:rPr>
          <w:rFonts w:ascii="仿宋_GB2312" w:eastAsia="仿宋_GB2312"/>
          <w:kern w:val="2"/>
          <w:sz w:val="24"/>
          <w:szCs w:val="24"/>
        </w:rPr>
      </w:pPr>
      <w:r>
        <w:rPr>
          <w:rFonts w:hint="eastAsia" w:ascii="仿宋_GB2312" w:eastAsia="仿宋_GB2312"/>
          <w:kern w:val="2"/>
          <w:sz w:val="24"/>
          <w:szCs w:val="24"/>
        </w:rPr>
        <w:t>本合同中未列明的与房屋有关的其他费用均由甲方承担。《相关费用明细表》为《房屋租赁合同》的有效组成部分，与《房屋租赁合同》具有同等法律效力。</w:t>
      </w:r>
    </w:p>
    <w:p>
      <w:pPr>
        <w:spacing w:line="360" w:lineRule="auto"/>
        <w:ind w:firstLine="480" w:firstLineChars="200"/>
        <w:rPr>
          <w:rFonts w:ascii="仿宋_GB2312" w:eastAsia="仿宋_GB2312"/>
          <w:kern w:val="2"/>
          <w:sz w:val="24"/>
          <w:szCs w:val="24"/>
        </w:rPr>
      </w:pPr>
      <w:r>
        <w:rPr>
          <w:rFonts w:hint="eastAsia" w:ascii="仿宋_GB2312" w:eastAsia="仿宋_GB2312"/>
          <w:kern w:val="2"/>
          <w:sz w:val="24"/>
          <w:szCs w:val="24"/>
        </w:rPr>
        <w:t>甲方：                                乙方：</w:t>
      </w:r>
    </w:p>
    <w:p>
      <w:pPr>
        <w:spacing w:line="360" w:lineRule="auto"/>
        <w:ind w:firstLine="480" w:firstLineChars="200"/>
        <w:rPr>
          <w:rFonts w:ascii="仿宋_GB2312" w:eastAsia="仿宋_GB2312"/>
          <w:kern w:val="2"/>
          <w:sz w:val="24"/>
          <w:szCs w:val="24"/>
        </w:rPr>
      </w:pPr>
      <w:r>
        <w:rPr>
          <w:rFonts w:hint="eastAsia" w:ascii="仿宋_GB2312" w:eastAsia="仿宋_GB2312"/>
          <w:kern w:val="2"/>
          <w:sz w:val="24"/>
          <w:szCs w:val="24"/>
        </w:rPr>
        <w:t>签字盖章：                            签字盖章：</w:t>
      </w:r>
    </w:p>
    <w:p>
      <w:pPr>
        <w:spacing w:line="360" w:lineRule="auto"/>
        <w:ind w:firstLine="480" w:firstLineChars="200"/>
        <w:rPr>
          <w:rFonts w:ascii="新宋体" w:hAnsi="新宋体" w:eastAsia="新宋体"/>
          <w:kern w:val="2"/>
          <w:sz w:val="24"/>
          <w:szCs w:val="24"/>
        </w:rPr>
      </w:pPr>
      <w:r>
        <w:rPr>
          <w:rFonts w:hint="eastAsia" w:ascii="仿宋_GB2312" w:eastAsia="仿宋_GB2312"/>
          <w:kern w:val="2"/>
          <w:sz w:val="24"/>
          <w:szCs w:val="24"/>
        </w:rPr>
        <w:t xml:space="preserve">日期： </w:t>
      </w:r>
      <w:r>
        <w:rPr>
          <w:rFonts w:hint="eastAsia" w:ascii="仿宋_GB2312" w:eastAsia="仿宋_GB2312"/>
          <w:kern w:val="2"/>
          <w:sz w:val="24"/>
          <w:szCs w:val="24"/>
          <w:u w:val="single"/>
        </w:rPr>
        <w:t xml:space="preserve">     </w:t>
      </w:r>
      <w:r>
        <w:rPr>
          <w:rFonts w:hint="eastAsia" w:ascii="仿宋_GB2312" w:eastAsia="仿宋_GB2312"/>
          <w:kern w:val="2"/>
          <w:sz w:val="24"/>
          <w:szCs w:val="24"/>
        </w:rPr>
        <w:t>年</w:t>
      </w:r>
      <w:r>
        <w:rPr>
          <w:rFonts w:hint="eastAsia" w:ascii="仿宋_GB2312" w:eastAsia="仿宋_GB2312"/>
          <w:kern w:val="2"/>
          <w:sz w:val="24"/>
          <w:szCs w:val="24"/>
          <w:u w:val="single"/>
        </w:rPr>
        <w:t xml:space="preserve">    </w:t>
      </w:r>
      <w:r>
        <w:rPr>
          <w:rFonts w:hint="eastAsia" w:ascii="仿宋_GB2312" w:eastAsia="仿宋_GB2312"/>
          <w:kern w:val="2"/>
          <w:sz w:val="24"/>
          <w:szCs w:val="24"/>
        </w:rPr>
        <w:t>月</w:t>
      </w:r>
      <w:r>
        <w:rPr>
          <w:rFonts w:hint="eastAsia" w:ascii="仿宋_GB2312" w:eastAsia="仿宋_GB2312"/>
          <w:kern w:val="2"/>
          <w:sz w:val="24"/>
          <w:szCs w:val="24"/>
          <w:u w:val="single"/>
        </w:rPr>
        <w:t xml:space="preserve">     </w:t>
      </w:r>
      <w:r>
        <w:rPr>
          <w:rFonts w:hint="eastAsia" w:ascii="仿宋_GB2312" w:eastAsia="仿宋_GB2312"/>
          <w:kern w:val="2"/>
          <w:sz w:val="24"/>
          <w:szCs w:val="24"/>
        </w:rPr>
        <w:t xml:space="preserve">日           日期： </w:t>
      </w:r>
      <w:r>
        <w:rPr>
          <w:rFonts w:hint="eastAsia" w:ascii="仿宋_GB2312" w:eastAsia="仿宋_GB2312"/>
          <w:kern w:val="2"/>
          <w:sz w:val="24"/>
          <w:szCs w:val="24"/>
          <w:u w:val="single"/>
        </w:rPr>
        <w:t xml:space="preserve">     </w:t>
      </w:r>
      <w:r>
        <w:rPr>
          <w:rFonts w:hint="eastAsia" w:ascii="仿宋_GB2312" w:eastAsia="仿宋_GB2312"/>
          <w:kern w:val="2"/>
          <w:sz w:val="24"/>
          <w:szCs w:val="24"/>
        </w:rPr>
        <w:t>年</w:t>
      </w:r>
      <w:r>
        <w:rPr>
          <w:rFonts w:hint="eastAsia" w:ascii="仿宋_GB2312" w:eastAsia="仿宋_GB2312"/>
          <w:kern w:val="2"/>
          <w:sz w:val="24"/>
          <w:szCs w:val="24"/>
          <w:u w:val="single"/>
        </w:rPr>
        <w:t xml:space="preserve">    </w:t>
      </w:r>
      <w:r>
        <w:rPr>
          <w:rFonts w:hint="eastAsia" w:ascii="仿宋_GB2312" w:eastAsia="仿宋_GB2312"/>
          <w:kern w:val="2"/>
          <w:sz w:val="24"/>
          <w:szCs w:val="24"/>
        </w:rPr>
        <w:t>月</w:t>
      </w:r>
      <w:r>
        <w:rPr>
          <w:rFonts w:hint="eastAsia" w:ascii="仿宋_GB2312" w:eastAsia="仿宋_GB2312"/>
          <w:kern w:val="2"/>
          <w:sz w:val="24"/>
          <w:szCs w:val="24"/>
          <w:u w:val="single"/>
        </w:rPr>
        <w:t xml:space="preserve">     </w:t>
      </w:r>
      <w:r>
        <w:rPr>
          <w:rFonts w:hint="eastAsia" w:ascii="仿宋_GB2312" w:eastAsia="仿宋_GB2312"/>
          <w:kern w:val="2"/>
          <w:sz w:val="24"/>
          <w:szCs w:val="24"/>
        </w:rPr>
        <w:t xml:space="preserve">日  </w:t>
      </w:r>
    </w:p>
    <w:p>
      <w:pPr>
        <w:wordWrap w:val="0"/>
        <w:jc w:val="center"/>
        <w:rPr>
          <w:rFonts w:cs="仿宋_GB2312"/>
          <w:b/>
          <w:bCs/>
          <w:sz w:val="28"/>
          <w:szCs w:val="28"/>
        </w:rPr>
      </w:pPr>
    </w:p>
    <w:p>
      <w:pPr>
        <w:wordWrap w:val="0"/>
        <w:jc w:val="center"/>
        <w:rPr>
          <w:rFonts w:cs="仿宋_GB2312"/>
          <w:b/>
          <w:bCs/>
          <w:sz w:val="28"/>
          <w:szCs w:val="28"/>
        </w:rPr>
      </w:pPr>
      <w:r>
        <w:rPr>
          <w:rFonts w:cs="仿宋_GB2312"/>
          <w:b/>
          <w:bCs/>
          <w:sz w:val="28"/>
          <w:szCs w:val="28"/>
        </w:rPr>
        <w:br w:type="page"/>
      </w:r>
    </w:p>
    <w:p>
      <w:pPr>
        <w:wordWrap w:val="0"/>
        <w:jc w:val="center"/>
        <w:rPr>
          <w:b/>
          <w:bCs/>
          <w:sz w:val="28"/>
          <w:szCs w:val="28"/>
        </w:rPr>
      </w:pPr>
      <w:r>
        <w:rPr>
          <w:rFonts w:hint="eastAsia" w:cs="仿宋_GB2312"/>
          <w:b/>
          <w:bCs/>
          <w:sz w:val="28"/>
          <w:szCs w:val="28"/>
        </w:rPr>
        <w:t>特别提示</w:t>
      </w:r>
    </w:p>
    <w:p>
      <w:pPr>
        <w:wordWrap w:val="0"/>
        <w:spacing w:line="400" w:lineRule="exact"/>
        <w:rPr>
          <w:sz w:val="28"/>
          <w:szCs w:val="28"/>
        </w:rPr>
      </w:pPr>
    </w:p>
    <w:p>
      <w:pPr>
        <w:wordWrap w:val="0"/>
        <w:spacing w:line="460" w:lineRule="exact"/>
        <w:rPr>
          <w:sz w:val="28"/>
          <w:szCs w:val="28"/>
        </w:rPr>
      </w:pPr>
      <w:r>
        <w:rPr>
          <w:rFonts w:cs="仿宋_GB2312"/>
          <w:sz w:val="28"/>
          <w:szCs w:val="28"/>
        </w:rPr>
        <w:t xml:space="preserve">    1</w:t>
      </w:r>
      <w:r>
        <w:rPr>
          <w:rFonts w:hint="eastAsia" w:cs="仿宋_GB2312"/>
          <w:sz w:val="28"/>
          <w:szCs w:val="28"/>
        </w:rPr>
        <w:t>、签订合同之前，当事人双方应当仔细阅读合同，经双方协商可对合同条款的内容作增删、选择、补充、填充、修改。合同签订后，未被修改的内容及当事人填写的内容（经当事人双方签字或盖章确认）视为本合同约定内容。本合同中的选择、补充、填充、修改内容以手写项的效力优先。</w:t>
      </w:r>
    </w:p>
    <w:p>
      <w:pPr>
        <w:wordWrap w:val="0"/>
        <w:spacing w:line="460" w:lineRule="exact"/>
        <w:rPr>
          <w:sz w:val="28"/>
          <w:szCs w:val="28"/>
        </w:rPr>
      </w:pPr>
      <w:r>
        <w:rPr>
          <w:rFonts w:cs="仿宋_GB2312"/>
          <w:sz w:val="28"/>
          <w:szCs w:val="28"/>
        </w:rPr>
        <w:t xml:space="preserve">    2</w:t>
      </w:r>
      <w:r>
        <w:rPr>
          <w:rFonts w:hint="eastAsia" w:cs="仿宋_GB2312"/>
          <w:sz w:val="28"/>
          <w:szCs w:val="28"/>
        </w:rPr>
        <w:t>、在签订合同前，出租人应当向承租人出示房地产权利证书或者证明其拥有房地产权的其他有效证件以及能证明出租人身份或者法律资格的证明。房屋委托他人代管的还需提供授权委托书；共有房屋出租的，须提供所有共有人同意出租证明和授权委托书；承租人应当向出租人出示承租人身份证明或者法律资格证明。</w:t>
      </w:r>
      <w:r>
        <w:rPr>
          <w:rFonts w:cs="仿宋_GB2312"/>
          <w:sz w:val="28"/>
          <w:szCs w:val="28"/>
        </w:rPr>
        <w:t xml:space="preserve">   </w:t>
      </w:r>
    </w:p>
    <w:p>
      <w:pPr>
        <w:wordWrap w:val="0"/>
        <w:spacing w:line="460" w:lineRule="exact"/>
        <w:ind w:firstLine="480"/>
        <w:rPr>
          <w:sz w:val="28"/>
          <w:szCs w:val="28"/>
        </w:rPr>
      </w:pPr>
      <w:r>
        <w:rPr>
          <w:rFonts w:cs="仿宋_GB2312"/>
          <w:sz w:val="28"/>
          <w:szCs w:val="28"/>
        </w:rPr>
        <w:t>3</w:t>
      </w:r>
      <w:r>
        <w:rPr>
          <w:rFonts w:hint="eastAsia" w:cs="仿宋_GB2312"/>
          <w:sz w:val="28"/>
          <w:szCs w:val="28"/>
        </w:rPr>
        <w:t>、当事人签订、履行合同均应依法进行，不得违反法律有关程序规定或从事违法行为。</w:t>
      </w:r>
    </w:p>
    <w:p>
      <w:pPr>
        <w:wordWrap w:val="0"/>
        <w:spacing w:line="460" w:lineRule="exact"/>
        <w:ind w:firstLine="480"/>
        <w:rPr>
          <w:sz w:val="28"/>
          <w:szCs w:val="28"/>
        </w:rPr>
      </w:pPr>
      <w:r>
        <w:rPr>
          <w:rFonts w:cs="仿宋_GB2312"/>
          <w:sz w:val="28"/>
          <w:szCs w:val="28"/>
        </w:rPr>
        <w:t>4</w:t>
      </w:r>
      <w:r>
        <w:rPr>
          <w:rFonts w:hint="eastAsia" w:cs="仿宋_GB2312"/>
          <w:sz w:val="28"/>
          <w:szCs w:val="28"/>
        </w:rPr>
        <w:t>、本合同一经签订，对双方当事人具有法律约束力。当事人须按照双方约定履行自己的义务，非经法定或约定不得擅自变更或解除合同。</w:t>
      </w:r>
    </w:p>
    <w:p>
      <w:pPr>
        <w:wordWrap w:val="0"/>
        <w:spacing w:line="460" w:lineRule="exact"/>
        <w:ind w:firstLine="480"/>
        <w:rPr>
          <w:sz w:val="28"/>
          <w:szCs w:val="28"/>
        </w:rPr>
      </w:pPr>
      <w:r>
        <w:rPr>
          <w:rFonts w:cs="仿宋_GB2312"/>
          <w:sz w:val="28"/>
          <w:szCs w:val="28"/>
        </w:rPr>
        <w:t>5</w:t>
      </w:r>
      <w:r>
        <w:rPr>
          <w:rFonts w:hint="eastAsia" w:cs="仿宋_GB2312"/>
          <w:sz w:val="28"/>
          <w:szCs w:val="28"/>
        </w:rPr>
        <w:t>、合同中由当事人自行填写的内容，均应当使用碳素墨水或蓝黑墨水，用毛笔、钢笔、签字笔填写并签字或盖章确认。</w:t>
      </w:r>
    </w:p>
    <w:p>
      <w:pPr>
        <w:wordWrap w:val="0"/>
        <w:spacing w:line="460" w:lineRule="exact"/>
        <w:ind w:firstLine="480"/>
        <w:rPr>
          <w:sz w:val="28"/>
          <w:szCs w:val="28"/>
        </w:rPr>
      </w:pPr>
      <w:r>
        <w:rPr>
          <w:rFonts w:cs="仿宋_GB2312"/>
          <w:sz w:val="28"/>
          <w:szCs w:val="28"/>
        </w:rPr>
        <w:t>6</w:t>
      </w:r>
      <w:r>
        <w:rPr>
          <w:rFonts w:hint="eastAsia" w:cs="仿宋_GB2312"/>
          <w:sz w:val="28"/>
          <w:szCs w:val="28"/>
        </w:rPr>
        <w:t>、本合同文本部分条款中有空白处（以下划线标出），可供当事人约定；还有部分条款可供当事人选择（以□标出）。</w:t>
      </w:r>
    </w:p>
    <w:p>
      <w:pPr>
        <w:wordWrap w:val="0"/>
        <w:spacing w:line="460" w:lineRule="exact"/>
        <w:ind w:firstLine="480"/>
        <w:rPr>
          <w:sz w:val="28"/>
          <w:szCs w:val="28"/>
        </w:rPr>
      </w:pPr>
      <w:r>
        <w:rPr>
          <w:rFonts w:cs="仿宋_GB2312"/>
          <w:sz w:val="28"/>
          <w:szCs w:val="28"/>
        </w:rPr>
        <w:t>7</w:t>
      </w:r>
      <w:r>
        <w:rPr>
          <w:rFonts w:hint="eastAsia" w:cs="仿宋_GB2312"/>
          <w:sz w:val="28"/>
          <w:szCs w:val="28"/>
        </w:rPr>
        <w:t>、签订本合同后，双方当事人应当及时共同到房屋租赁管理主管部门办理登记或备案。</w:t>
      </w:r>
    </w:p>
    <w:p>
      <w:pPr>
        <w:wordWrap w:val="0"/>
        <w:spacing w:line="460" w:lineRule="exact"/>
        <w:ind w:firstLine="480"/>
        <w:rPr>
          <w:sz w:val="28"/>
          <w:szCs w:val="28"/>
        </w:rPr>
      </w:pPr>
      <w:r>
        <w:rPr>
          <w:rFonts w:cs="仿宋_GB2312"/>
          <w:sz w:val="28"/>
          <w:szCs w:val="28"/>
        </w:rPr>
        <w:t>8</w:t>
      </w:r>
      <w:r>
        <w:rPr>
          <w:rFonts w:hint="eastAsia" w:cs="仿宋_GB2312"/>
          <w:sz w:val="28"/>
          <w:szCs w:val="28"/>
        </w:rPr>
        <w:t>、租赁双方当事人可根据实际需要决定本合同原件的份数并在签订合同时认真核对，确保各份合同相互之间内容一致；在任何情况下，双方当事人都应当各自持有至少一份合同原件。</w:t>
      </w:r>
    </w:p>
    <w:p>
      <w:pPr>
        <w:wordWrap w:val="0"/>
        <w:spacing w:line="460" w:lineRule="exact"/>
        <w:ind w:firstLine="480"/>
        <w:rPr>
          <w:sz w:val="28"/>
          <w:szCs w:val="28"/>
        </w:rPr>
      </w:pPr>
      <w:r>
        <w:rPr>
          <w:rFonts w:cs="仿宋_GB2312"/>
          <w:sz w:val="28"/>
          <w:szCs w:val="28"/>
        </w:rPr>
        <w:t>9</w:t>
      </w:r>
      <w:r>
        <w:rPr>
          <w:rFonts w:hint="eastAsia" w:cs="仿宋_GB2312"/>
          <w:sz w:val="28"/>
          <w:szCs w:val="28"/>
        </w:rPr>
        <w:t>、本合同内容发生重大变更或解除的，当事人应及时到原登记机关办理相关手续。</w:t>
      </w:r>
    </w:p>
    <w:p>
      <w:pPr>
        <w:wordWrap w:val="0"/>
        <w:spacing w:line="460" w:lineRule="exact"/>
        <w:ind w:firstLine="480"/>
        <w:rPr>
          <w:sz w:val="28"/>
          <w:szCs w:val="28"/>
        </w:rPr>
      </w:pPr>
      <w:r>
        <w:rPr>
          <w:rFonts w:cs="仿宋_GB2312"/>
          <w:sz w:val="28"/>
          <w:szCs w:val="28"/>
        </w:rPr>
        <w:t>10</w:t>
      </w:r>
      <w:r>
        <w:rPr>
          <w:rFonts w:hint="eastAsia" w:cs="仿宋_GB2312"/>
          <w:sz w:val="28"/>
          <w:szCs w:val="28"/>
        </w:rPr>
        <w:t>、双方当事人可就租赁期满、解除合同后如何处置出租房屋内留置物品进行协商，在附页中约定。</w:t>
      </w:r>
    </w:p>
    <w:p>
      <w:pPr>
        <w:wordWrap w:val="0"/>
        <w:spacing w:line="460" w:lineRule="exact"/>
        <w:ind w:firstLine="480"/>
        <w:rPr>
          <w:rFonts w:ascii="仿宋_GB2312" w:eastAsia="仿宋_GB2312"/>
          <w:sz w:val="24"/>
          <w:szCs w:val="24"/>
        </w:rPr>
      </w:pPr>
      <w:r>
        <w:rPr>
          <w:rFonts w:cs="仿宋_GB2312"/>
          <w:sz w:val="28"/>
          <w:szCs w:val="28"/>
        </w:rPr>
        <w:t>11</w:t>
      </w:r>
      <w:r>
        <w:rPr>
          <w:rFonts w:hint="eastAsia" w:cs="仿宋_GB2312"/>
          <w:sz w:val="28"/>
          <w:szCs w:val="28"/>
        </w:rPr>
        <w:t>、本合同第六条“租赁房屋用途”应按以下内容填写：商业、办公、厂房、仓库、综合、其他。</w:t>
      </w:r>
    </w:p>
    <w:p>
      <w:pPr>
        <w:wordWrap w:val="0"/>
        <w:spacing w:line="560" w:lineRule="exact"/>
        <w:ind w:firstLine="360" w:firstLineChars="100"/>
        <w:rPr>
          <w:rFonts w:ascii="黑体" w:hAnsi="黑体" w:eastAsia="黑体"/>
          <w:sz w:val="36"/>
          <w:szCs w:val="36"/>
        </w:rPr>
      </w:pPr>
    </w:p>
    <w:p>
      <w:pPr>
        <w:pStyle w:val="4"/>
        <w:tabs>
          <w:tab w:val="left" w:pos="3204"/>
        </w:tabs>
        <w:spacing w:before="38"/>
        <w:ind w:left="2242"/>
        <w:rPr>
          <w:rFonts w:ascii="宋体" w:eastAsia="宋体"/>
        </w:rPr>
      </w:pPr>
      <w:r>
        <w:rPr>
          <w:rFonts w:hint="eastAsia" w:ascii="宋体" w:eastAsia="宋体"/>
        </w:rPr>
        <w:t>第五章</w:t>
      </w:r>
      <w:r>
        <w:rPr>
          <w:rFonts w:hint="eastAsia" w:ascii="宋体" w:eastAsia="宋体"/>
        </w:rPr>
        <w:tab/>
      </w:r>
      <w:r>
        <w:rPr>
          <w:rFonts w:hint="eastAsia" w:ascii="宋体" w:eastAsia="宋体"/>
        </w:rPr>
        <w:t>集体资产交易合同的签订、履约及验收</w:t>
      </w:r>
    </w:p>
    <w:p>
      <w:pPr>
        <w:pStyle w:val="9"/>
        <w:spacing w:before="4"/>
        <w:rPr>
          <w:b/>
          <w:sz w:val="32"/>
        </w:rPr>
      </w:pPr>
    </w:p>
    <w:p>
      <w:pPr>
        <w:ind w:right="380"/>
        <w:jc w:val="center"/>
        <w:rPr>
          <w:sz w:val="24"/>
        </w:rPr>
      </w:pPr>
      <w:bookmarkStart w:id="27" w:name="一、重要提示"/>
      <w:bookmarkEnd w:id="27"/>
      <w:r>
        <w:rPr>
          <w:sz w:val="24"/>
        </w:rPr>
        <w:t>一、重要提示</w:t>
      </w:r>
    </w:p>
    <w:p>
      <w:pPr>
        <w:pStyle w:val="9"/>
        <w:spacing w:before="10"/>
        <w:rPr>
          <w:sz w:val="33"/>
        </w:rPr>
      </w:pPr>
    </w:p>
    <w:p>
      <w:pPr>
        <w:pStyle w:val="9"/>
        <w:spacing w:line="410" w:lineRule="auto"/>
        <w:ind w:left="440" w:right="820" w:firstLine="420"/>
      </w:pPr>
      <w:r>
        <w:t>（一</w:t>
      </w:r>
      <w:r>
        <w:rPr>
          <w:spacing w:val="-22"/>
        </w:rPr>
        <w:t>）</w:t>
      </w:r>
      <w:r>
        <w:rPr>
          <w:spacing w:val="-5"/>
        </w:rPr>
        <w:t xml:space="preserve">中标人将于中标通知书发出后 </w:t>
      </w:r>
      <w:r>
        <w:rPr>
          <w:rFonts w:ascii="Times New Roman" w:eastAsia="Times New Roman"/>
        </w:rPr>
        <w:t xml:space="preserve">30 </w:t>
      </w:r>
      <w:r>
        <w:rPr>
          <w:spacing w:val="-3"/>
        </w:rPr>
        <w:t>日内与招标人按照招标文件</w:t>
      </w:r>
      <w:r>
        <w:t>和投标文件内容与招标人签订书面租赁合同，合同书应采用本招标文件规定的合同样本；</w:t>
      </w:r>
    </w:p>
    <w:p>
      <w:pPr>
        <w:pStyle w:val="9"/>
        <w:spacing w:before="4" w:line="412" w:lineRule="auto"/>
        <w:ind w:left="440" w:right="714" w:firstLine="420"/>
      </w:pPr>
      <w:r>
        <w:t>（二）中标人如不按招标文件第十一章合同的授予的规定与招标人签订合同</w:t>
      </w:r>
      <w:r>
        <w:rPr>
          <w:rFonts w:hint="eastAsia"/>
        </w:rPr>
        <w:t>，</w:t>
      </w:r>
      <w:r>
        <w:t>则招标人将有充分的理由废除中标，并没收其</w:t>
      </w:r>
      <w:r>
        <w:rPr>
          <w:rFonts w:hint="eastAsia"/>
        </w:rPr>
        <w:t>投标</w:t>
      </w:r>
      <w:r>
        <w:t>保证金，给招标人造成的损失超过投标担保数额的，还应当对超过部分予以赔偿，同时承担相应法律责任；</w:t>
      </w:r>
    </w:p>
    <w:p>
      <w:pPr>
        <w:pStyle w:val="9"/>
        <w:spacing w:line="265" w:lineRule="exact"/>
        <w:ind w:left="860"/>
      </w:pPr>
      <w:r>
        <w:t>（三）中标人应当按照合同约定履行义务；</w:t>
      </w:r>
    </w:p>
    <w:p>
      <w:pPr>
        <w:pStyle w:val="9"/>
        <w:spacing w:before="2"/>
        <w:rPr>
          <w:sz w:val="15"/>
        </w:rPr>
      </w:pPr>
    </w:p>
    <w:p>
      <w:pPr>
        <w:pStyle w:val="9"/>
        <w:spacing w:line="410" w:lineRule="auto"/>
        <w:ind w:left="440" w:right="820" w:firstLine="420"/>
      </w:pPr>
      <w:r>
        <w:t>（四）招标人与中标人签订的合同必须遵守本招标文件的合同条件，并且不得更改合同条件。</w:t>
      </w:r>
    </w:p>
    <w:p>
      <w:pPr>
        <w:tabs>
          <w:tab w:val="left" w:pos="1399"/>
        </w:tabs>
        <w:spacing w:before="156"/>
        <w:ind w:left="440" w:right="6346"/>
        <w:rPr>
          <w:sz w:val="24"/>
        </w:rPr>
      </w:pPr>
      <w:r>
        <w:rPr>
          <w:sz w:val="24"/>
        </w:rPr>
        <w:br w:type="page"/>
      </w:r>
    </w:p>
    <w:p>
      <w:pPr>
        <w:pStyle w:val="3"/>
        <w:spacing w:line="470" w:lineRule="exact"/>
        <w:jc w:val="left"/>
        <w:rPr>
          <w:rFonts w:ascii="方正小标宋简体" w:eastAsia="方正小标宋简体"/>
          <w:sz w:val="44"/>
          <w:szCs w:val="44"/>
        </w:rPr>
      </w:pPr>
      <w:bookmarkStart w:id="28" w:name="第一册__投标人须知"/>
      <w:bookmarkEnd w:id="28"/>
      <w:r>
        <w:rPr>
          <w:rFonts w:hint="eastAsia" w:ascii="方正小标宋简体" w:eastAsia="方正小标宋简体"/>
          <w:sz w:val="44"/>
          <w:szCs w:val="44"/>
        </w:rPr>
        <w:t>第二册</w:t>
      </w:r>
      <w:r>
        <w:rPr>
          <w:rFonts w:hint="eastAsia" w:ascii="方正小标宋简体" w:eastAsia="方正小标宋简体"/>
          <w:sz w:val="44"/>
          <w:szCs w:val="44"/>
        </w:rPr>
        <w:tab/>
      </w:r>
      <w:r>
        <w:rPr>
          <w:rFonts w:hint="eastAsia" w:ascii="方正小标宋简体" w:eastAsia="方正小标宋简体"/>
          <w:sz w:val="44"/>
          <w:szCs w:val="44"/>
        </w:rPr>
        <w:t>投标人须知</w:t>
      </w:r>
    </w:p>
    <w:p>
      <w:pPr>
        <w:tabs>
          <w:tab w:val="left" w:pos="962"/>
        </w:tabs>
        <w:spacing w:before="1"/>
        <w:ind w:right="375" w:firstLine="3614" w:firstLineChars="1500"/>
        <w:jc w:val="both"/>
        <w:rPr>
          <w:b/>
          <w:sz w:val="24"/>
        </w:rPr>
      </w:pPr>
      <w:bookmarkStart w:id="29" w:name="第一章__名词释义"/>
      <w:bookmarkEnd w:id="29"/>
    </w:p>
    <w:p>
      <w:pPr>
        <w:pStyle w:val="4"/>
        <w:tabs>
          <w:tab w:val="left" w:pos="962"/>
        </w:tabs>
        <w:spacing w:before="1"/>
        <w:ind w:left="0" w:right="375"/>
        <w:jc w:val="center"/>
        <w:rPr>
          <w:rFonts w:ascii="黑体" w:hAnsi="黑体" w:eastAsia="黑体"/>
          <w:sz w:val="36"/>
          <w:szCs w:val="36"/>
        </w:rPr>
      </w:pPr>
      <w:r>
        <w:rPr>
          <w:rFonts w:ascii="黑体" w:hAnsi="黑体" w:eastAsia="黑体"/>
          <w:sz w:val="36"/>
          <w:szCs w:val="36"/>
        </w:rPr>
        <w:t>第一章</w:t>
      </w:r>
      <w:r>
        <w:rPr>
          <w:rFonts w:ascii="黑体" w:hAnsi="黑体" w:eastAsia="黑体"/>
          <w:sz w:val="36"/>
          <w:szCs w:val="36"/>
        </w:rPr>
        <w:tab/>
      </w:r>
      <w:r>
        <w:rPr>
          <w:rFonts w:hint="eastAsia" w:ascii="黑体" w:hAnsi="黑体" w:eastAsia="黑体"/>
          <w:sz w:val="36"/>
          <w:szCs w:val="36"/>
        </w:rPr>
        <w:t>总则</w:t>
      </w:r>
    </w:p>
    <w:p>
      <w:pPr>
        <w:pStyle w:val="9"/>
        <w:spacing w:before="4"/>
        <w:rPr>
          <w:b/>
          <w:sz w:val="28"/>
        </w:rPr>
      </w:pPr>
    </w:p>
    <w:p>
      <w:pPr>
        <w:pStyle w:val="5"/>
        <w:numPr>
          <w:ilvl w:val="0"/>
          <w:numId w:val="3"/>
        </w:numPr>
        <w:tabs>
          <w:tab w:val="left" w:pos="757"/>
        </w:tabs>
        <w:spacing w:line="360" w:lineRule="auto"/>
      </w:pPr>
      <w:r>
        <w:t>招标说明</w:t>
      </w:r>
    </w:p>
    <w:p>
      <w:pPr>
        <w:pStyle w:val="18"/>
        <w:numPr>
          <w:ilvl w:val="1"/>
          <w:numId w:val="4"/>
        </w:numPr>
        <w:tabs>
          <w:tab w:val="left" w:pos="1170"/>
        </w:tabs>
        <w:spacing w:line="360" w:lineRule="auto"/>
        <w:ind w:right="815" w:firstLine="412"/>
        <w:jc w:val="both"/>
        <w:rPr>
          <w:rFonts w:asciiTheme="minorEastAsia" w:hAnsiTheme="minorEastAsia" w:eastAsiaTheme="minorEastAsia"/>
          <w:sz w:val="21"/>
          <w:szCs w:val="21"/>
        </w:rPr>
      </w:pPr>
      <w:r>
        <w:rPr>
          <w:rFonts w:asciiTheme="minorEastAsia" w:hAnsiTheme="minorEastAsia" w:eastAsiaTheme="minorEastAsia"/>
          <w:spacing w:val="-7"/>
          <w:sz w:val="21"/>
          <w:szCs w:val="21"/>
        </w:rPr>
        <w:t>根据《中华人民共和国招标投标法》、《光明新区社区集体经济资金资产资源交易管理</w:t>
      </w:r>
      <w:r>
        <w:rPr>
          <w:rFonts w:asciiTheme="minorEastAsia" w:hAnsiTheme="minorEastAsia" w:eastAsiaTheme="minorEastAsia"/>
          <w:spacing w:val="-4"/>
          <w:sz w:val="21"/>
          <w:szCs w:val="21"/>
        </w:rPr>
        <w:t>暂行办法》</w:t>
      </w:r>
      <w:r>
        <w:rPr>
          <w:rFonts w:asciiTheme="minorEastAsia" w:hAnsiTheme="minorEastAsia" w:eastAsiaTheme="minorEastAsia"/>
          <w:sz w:val="21"/>
          <w:szCs w:val="21"/>
        </w:rPr>
        <w:t>（深光规</w:t>
      </w:r>
      <w:r>
        <w:rPr>
          <w:rFonts w:hint="eastAsia" w:asciiTheme="minorEastAsia" w:hAnsiTheme="minorEastAsia" w:eastAsiaTheme="minorEastAsia"/>
          <w:sz w:val="21"/>
          <w:szCs w:val="21"/>
        </w:rPr>
        <w:t>〔</w:t>
      </w:r>
      <w:r>
        <w:rPr>
          <w:rFonts w:asciiTheme="minorEastAsia" w:hAnsiTheme="minorEastAsia" w:eastAsiaTheme="minorEastAsia"/>
          <w:sz w:val="21"/>
          <w:szCs w:val="21"/>
        </w:rPr>
        <w:t>2018</w:t>
      </w:r>
      <w:r>
        <w:rPr>
          <w:rFonts w:hint="eastAsia" w:asciiTheme="minorEastAsia" w:hAnsiTheme="minorEastAsia" w:eastAsiaTheme="minorEastAsia"/>
          <w:sz w:val="21"/>
          <w:szCs w:val="21"/>
        </w:rPr>
        <w:t>〕</w:t>
      </w:r>
      <w:r>
        <w:rPr>
          <w:rFonts w:asciiTheme="minorEastAsia" w:hAnsiTheme="minorEastAsia" w:eastAsiaTheme="minorEastAsia"/>
          <w:sz w:val="21"/>
          <w:szCs w:val="21"/>
        </w:rPr>
        <w:t>15</w:t>
      </w:r>
      <w:r>
        <w:rPr>
          <w:rFonts w:asciiTheme="minorEastAsia" w:hAnsiTheme="minorEastAsia" w:eastAsiaTheme="minorEastAsia"/>
          <w:spacing w:val="20"/>
          <w:sz w:val="21"/>
          <w:szCs w:val="21"/>
        </w:rPr>
        <w:t xml:space="preserve"> </w:t>
      </w:r>
      <w:r>
        <w:rPr>
          <w:rFonts w:asciiTheme="minorEastAsia" w:hAnsiTheme="minorEastAsia" w:eastAsiaTheme="minorEastAsia"/>
          <w:sz w:val="21"/>
          <w:szCs w:val="21"/>
        </w:rPr>
        <w:t>号）</w:t>
      </w: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highlight w:val="yellow"/>
        </w:rPr>
        <w:t>《产业空间管理暂行办法》</w:t>
      </w:r>
      <w:r>
        <w:rPr>
          <w:rFonts w:asciiTheme="minorEastAsia" w:hAnsiTheme="minorEastAsia" w:eastAsiaTheme="minorEastAsia"/>
          <w:sz w:val="21"/>
          <w:szCs w:val="21"/>
          <w:highlight w:val="yellow"/>
        </w:rPr>
        <w:t>（深光</w:t>
      </w:r>
      <w:r>
        <w:rPr>
          <w:rFonts w:hint="eastAsia" w:asciiTheme="minorEastAsia" w:hAnsiTheme="minorEastAsia" w:eastAsiaTheme="minorEastAsia"/>
          <w:sz w:val="21"/>
          <w:szCs w:val="21"/>
          <w:highlight w:val="yellow"/>
        </w:rPr>
        <w:t>府</w:t>
      </w:r>
      <w:r>
        <w:rPr>
          <w:rFonts w:asciiTheme="minorEastAsia" w:hAnsiTheme="minorEastAsia" w:eastAsiaTheme="minorEastAsia"/>
          <w:sz w:val="21"/>
          <w:szCs w:val="21"/>
          <w:highlight w:val="yellow"/>
        </w:rPr>
        <w:t>规</w:t>
      </w:r>
      <w:r>
        <w:rPr>
          <w:rFonts w:hint="eastAsia" w:asciiTheme="minorEastAsia" w:hAnsiTheme="minorEastAsia" w:eastAsiaTheme="minorEastAsia"/>
          <w:sz w:val="21"/>
          <w:szCs w:val="21"/>
          <w:highlight w:val="yellow"/>
        </w:rPr>
        <w:t>〔</w:t>
      </w:r>
      <w:r>
        <w:rPr>
          <w:rFonts w:asciiTheme="minorEastAsia" w:hAnsiTheme="minorEastAsia" w:eastAsiaTheme="minorEastAsia"/>
          <w:sz w:val="21"/>
          <w:szCs w:val="21"/>
          <w:highlight w:val="yellow"/>
        </w:rPr>
        <w:t>201</w:t>
      </w:r>
      <w:r>
        <w:rPr>
          <w:rFonts w:hint="eastAsia" w:asciiTheme="minorEastAsia" w:hAnsiTheme="minorEastAsia" w:eastAsiaTheme="minorEastAsia"/>
          <w:sz w:val="21"/>
          <w:szCs w:val="21"/>
          <w:highlight w:val="yellow"/>
        </w:rPr>
        <w:t>9〕</w:t>
      </w:r>
      <w:r>
        <w:rPr>
          <w:rFonts w:asciiTheme="minorEastAsia" w:hAnsiTheme="minorEastAsia" w:eastAsiaTheme="minorEastAsia"/>
          <w:sz w:val="21"/>
          <w:szCs w:val="21"/>
          <w:highlight w:val="yellow"/>
        </w:rPr>
        <w:t>1</w:t>
      </w:r>
      <w:r>
        <w:rPr>
          <w:rFonts w:hint="eastAsia" w:asciiTheme="minorEastAsia" w:hAnsiTheme="minorEastAsia" w:eastAsiaTheme="minorEastAsia"/>
          <w:sz w:val="21"/>
          <w:szCs w:val="21"/>
          <w:highlight w:val="yellow"/>
        </w:rPr>
        <w:t>1</w:t>
      </w:r>
      <w:r>
        <w:rPr>
          <w:rFonts w:asciiTheme="minorEastAsia" w:hAnsiTheme="minorEastAsia" w:eastAsiaTheme="minorEastAsia"/>
          <w:spacing w:val="20"/>
          <w:sz w:val="21"/>
          <w:szCs w:val="21"/>
          <w:highlight w:val="yellow"/>
        </w:rPr>
        <w:t xml:space="preserve"> </w:t>
      </w:r>
      <w:r>
        <w:rPr>
          <w:rFonts w:asciiTheme="minorEastAsia" w:hAnsiTheme="minorEastAsia" w:eastAsiaTheme="minorEastAsia"/>
          <w:sz w:val="21"/>
          <w:szCs w:val="21"/>
          <w:highlight w:val="yellow"/>
        </w:rPr>
        <w:t>号）</w:t>
      </w:r>
      <w:r>
        <w:rPr>
          <w:rFonts w:asciiTheme="minorEastAsia" w:hAnsiTheme="minorEastAsia" w:eastAsiaTheme="minorEastAsia"/>
          <w:sz w:val="21"/>
          <w:szCs w:val="21"/>
        </w:rPr>
        <w:t>等有关规定，并参考有关法规、政策、规章、规定通过招标择优选定中标人。</w:t>
      </w:r>
    </w:p>
    <w:p>
      <w:pPr>
        <w:pStyle w:val="5"/>
        <w:numPr>
          <w:ilvl w:val="0"/>
          <w:numId w:val="4"/>
        </w:numPr>
        <w:tabs>
          <w:tab w:val="left" w:pos="757"/>
        </w:tabs>
        <w:spacing w:line="360" w:lineRule="auto"/>
        <w:ind w:hanging="316"/>
      </w:pPr>
      <w:r>
        <w:t>定义</w:t>
      </w:r>
    </w:p>
    <w:p>
      <w:pPr>
        <w:pStyle w:val="9"/>
        <w:spacing w:line="360" w:lineRule="auto"/>
        <w:ind w:left="860"/>
      </w:pPr>
      <w:r>
        <w:t>招标文件中下列术语应解释为：</w:t>
      </w:r>
    </w:p>
    <w:p>
      <w:pPr>
        <w:pStyle w:val="18"/>
        <w:numPr>
          <w:ilvl w:val="1"/>
          <w:numId w:val="4"/>
        </w:numPr>
        <w:tabs>
          <w:tab w:val="left" w:pos="1126"/>
        </w:tabs>
        <w:spacing w:line="360" w:lineRule="auto"/>
        <w:ind w:left="1125" w:hanging="265"/>
        <w:rPr>
          <w:rFonts w:asciiTheme="minorEastAsia" w:hAnsiTheme="minorEastAsia" w:eastAsiaTheme="minorEastAsia"/>
          <w:spacing w:val="-7"/>
          <w:sz w:val="21"/>
          <w:szCs w:val="21"/>
        </w:rPr>
      </w:pPr>
      <w:r>
        <w:rPr>
          <w:sz w:val="21"/>
        </w:rPr>
        <w:t>“</w:t>
      </w:r>
      <w:r>
        <w:rPr>
          <w:rFonts w:asciiTheme="minorEastAsia" w:hAnsiTheme="minorEastAsia" w:eastAsiaTheme="minorEastAsia"/>
          <w:spacing w:val="-7"/>
          <w:sz w:val="21"/>
          <w:szCs w:val="21"/>
        </w:rPr>
        <w:t>交易平台”系指深圳市光明区公共资源交易平台；</w:t>
      </w:r>
    </w:p>
    <w:p>
      <w:pPr>
        <w:pStyle w:val="18"/>
        <w:numPr>
          <w:ilvl w:val="1"/>
          <w:numId w:val="4"/>
        </w:numPr>
        <w:tabs>
          <w:tab w:val="left" w:pos="1126"/>
        </w:tabs>
        <w:spacing w:line="360" w:lineRule="auto"/>
        <w:ind w:left="1125" w:hanging="265"/>
        <w:rPr>
          <w:rFonts w:asciiTheme="minorEastAsia" w:hAnsiTheme="minorEastAsia" w:eastAsiaTheme="minorEastAsia"/>
          <w:spacing w:val="-7"/>
          <w:sz w:val="21"/>
          <w:szCs w:val="21"/>
        </w:rPr>
      </w:pPr>
      <w:r>
        <w:rPr>
          <w:rFonts w:asciiTheme="minorEastAsia" w:hAnsiTheme="minorEastAsia" w:eastAsiaTheme="minorEastAsia"/>
          <w:spacing w:val="-7"/>
          <w:sz w:val="21"/>
          <w:szCs w:val="21"/>
        </w:rPr>
        <w:t>“招标人”</w:t>
      </w:r>
      <w:r>
        <w:rPr>
          <w:rFonts w:asciiTheme="minorEastAsia" w:hAnsiTheme="minorEastAsia" w:eastAsiaTheme="minorEastAsia"/>
          <w:spacing w:val="-7"/>
          <w:sz w:val="21"/>
          <w:szCs w:val="21"/>
          <w:highlight w:val="yellow"/>
        </w:rPr>
        <w:t>或“</w:t>
      </w:r>
      <w:r>
        <w:rPr>
          <w:rFonts w:hint="eastAsia" w:asciiTheme="minorEastAsia" w:hAnsiTheme="minorEastAsia" w:eastAsiaTheme="minorEastAsia"/>
          <w:spacing w:val="-7"/>
          <w:sz w:val="21"/>
          <w:szCs w:val="21"/>
          <w:highlight w:val="yellow"/>
        </w:rPr>
        <w:t>招</w:t>
      </w:r>
      <w:r>
        <w:rPr>
          <w:rFonts w:asciiTheme="minorEastAsia" w:hAnsiTheme="minorEastAsia" w:eastAsiaTheme="minorEastAsia"/>
          <w:spacing w:val="-7"/>
          <w:sz w:val="21"/>
          <w:szCs w:val="21"/>
          <w:highlight w:val="yellow"/>
        </w:rPr>
        <w:t>标方”</w:t>
      </w:r>
      <w:r>
        <w:rPr>
          <w:rFonts w:asciiTheme="minorEastAsia" w:hAnsiTheme="minorEastAsia" w:eastAsiaTheme="minorEastAsia"/>
          <w:spacing w:val="-7"/>
          <w:sz w:val="21"/>
          <w:szCs w:val="21"/>
        </w:rPr>
        <w:t>：系指社区</w:t>
      </w:r>
      <w:r>
        <w:rPr>
          <w:rFonts w:hint="eastAsia" w:asciiTheme="minorEastAsia" w:hAnsiTheme="minorEastAsia" w:eastAsiaTheme="minorEastAsia"/>
          <w:spacing w:val="-7"/>
          <w:sz w:val="21"/>
          <w:szCs w:val="21"/>
        </w:rPr>
        <w:t>股份</w:t>
      </w:r>
      <w:r>
        <w:rPr>
          <w:rFonts w:asciiTheme="minorEastAsia" w:hAnsiTheme="minorEastAsia" w:eastAsiaTheme="minorEastAsia"/>
          <w:spacing w:val="-7"/>
          <w:sz w:val="21"/>
          <w:szCs w:val="21"/>
        </w:rPr>
        <w:t>公司；</w:t>
      </w:r>
    </w:p>
    <w:p>
      <w:pPr>
        <w:pStyle w:val="18"/>
        <w:numPr>
          <w:ilvl w:val="1"/>
          <w:numId w:val="4"/>
        </w:numPr>
        <w:tabs>
          <w:tab w:val="left" w:pos="1119"/>
        </w:tabs>
        <w:spacing w:line="360" w:lineRule="auto"/>
        <w:ind w:right="714" w:firstLine="412"/>
        <w:rPr>
          <w:rFonts w:asciiTheme="minorEastAsia" w:hAnsiTheme="minorEastAsia" w:eastAsiaTheme="minorEastAsia"/>
          <w:spacing w:val="-7"/>
          <w:sz w:val="21"/>
          <w:szCs w:val="21"/>
        </w:rPr>
      </w:pPr>
      <w:r>
        <w:rPr>
          <w:rFonts w:asciiTheme="minorEastAsia" w:hAnsiTheme="minorEastAsia" w:eastAsiaTheme="minorEastAsia"/>
          <w:spacing w:val="-7"/>
          <w:sz w:val="21"/>
          <w:szCs w:val="21"/>
        </w:rPr>
        <w:t>“招标代理机构”系指是依法设立、从事招标代理业务并提供相关服务的社会中介组织。招标人有权自行选择招标代理机构，委托其办理招标事宜</w:t>
      </w:r>
      <w:r>
        <w:rPr>
          <w:rFonts w:hint="eastAsia" w:asciiTheme="minorEastAsia" w:hAnsiTheme="minorEastAsia" w:eastAsiaTheme="minorEastAsia"/>
          <w:spacing w:val="-7"/>
          <w:sz w:val="21"/>
          <w:szCs w:val="21"/>
        </w:rPr>
        <w:t>并签订委托代理协议书</w:t>
      </w:r>
      <w:r>
        <w:rPr>
          <w:rFonts w:asciiTheme="minorEastAsia" w:hAnsiTheme="minorEastAsia" w:eastAsiaTheme="minorEastAsia"/>
          <w:spacing w:val="-7"/>
          <w:sz w:val="21"/>
          <w:szCs w:val="21"/>
        </w:rPr>
        <w:t>；</w:t>
      </w:r>
    </w:p>
    <w:p>
      <w:pPr>
        <w:pStyle w:val="18"/>
        <w:numPr>
          <w:ilvl w:val="1"/>
          <w:numId w:val="4"/>
        </w:numPr>
        <w:tabs>
          <w:tab w:val="left" w:pos="1126"/>
        </w:tabs>
        <w:spacing w:line="360" w:lineRule="auto"/>
        <w:ind w:right="820" w:firstLine="420"/>
        <w:rPr>
          <w:rFonts w:asciiTheme="minorEastAsia" w:hAnsiTheme="minorEastAsia" w:eastAsiaTheme="minorEastAsia"/>
          <w:spacing w:val="-7"/>
          <w:sz w:val="21"/>
          <w:szCs w:val="21"/>
        </w:rPr>
      </w:pPr>
      <w:r>
        <w:rPr>
          <w:rFonts w:asciiTheme="minorEastAsia" w:hAnsiTheme="minorEastAsia" w:eastAsiaTheme="minorEastAsia"/>
          <w:spacing w:val="-7"/>
          <w:sz w:val="21"/>
          <w:szCs w:val="21"/>
        </w:rPr>
        <w:t>“投标人”或“投标方”，即投标人，是指参加投标竞争并愿意按照招标文件要求</w:t>
      </w:r>
      <w:r>
        <w:rPr>
          <w:rFonts w:hint="eastAsia" w:asciiTheme="minorEastAsia" w:hAnsiTheme="minorEastAsia" w:eastAsiaTheme="minorEastAsia"/>
          <w:spacing w:val="-7"/>
          <w:sz w:val="21"/>
          <w:szCs w:val="21"/>
          <w:highlight w:val="yellow"/>
        </w:rPr>
        <w:t>承租集体物业或</w:t>
      </w:r>
      <w:r>
        <w:rPr>
          <w:rFonts w:asciiTheme="minorEastAsia" w:hAnsiTheme="minorEastAsia" w:eastAsiaTheme="minorEastAsia"/>
          <w:spacing w:val="-7"/>
          <w:sz w:val="21"/>
          <w:szCs w:val="21"/>
        </w:rPr>
        <w:t>向招标人提供货物、工程或者服务的依法成立的法人；</w:t>
      </w:r>
    </w:p>
    <w:p>
      <w:pPr>
        <w:pStyle w:val="18"/>
        <w:numPr>
          <w:ilvl w:val="1"/>
          <w:numId w:val="4"/>
        </w:numPr>
        <w:tabs>
          <w:tab w:val="left" w:pos="1126"/>
        </w:tabs>
        <w:spacing w:line="360" w:lineRule="auto"/>
        <w:ind w:left="1125" w:hanging="265"/>
        <w:rPr>
          <w:rFonts w:ascii="Calibri" w:hAnsi="Calibri" w:eastAsia="Calibri"/>
          <w:sz w:val="19"/>
        </w:rPr>
      </w:pPr>
      <w:r>
        <w:rPr>
          <w:spacing w:val="-3"/>
          <w:sz w:val="21"/>
        </w:rPr>
        <w:t xml:space="preserve">“合格的投标人”是指必须符合下述 </w:t>
      </w:r>
      <w:r>
        <w:rPr>
          <w:rFonts w:ascii="Calibri" w:hAnsi="Calibri" w:eastAsia="Calibri"/>
          <w:sz w:val="21"/>
        </w:rPr>
        <w:t>2.5.1</w:t>
      </w:r>
      <w:r>
        <w:rPr>
          <w:rFonts w:ascii="Calibri" w:hAnsi="Calibri" w:eastAsia="Calibri"/>
          <w:spacing w:val="8"/>
          <w:sz w:val="21"/>
        </w:rPr>
        <w:t xml:space="preserve"> </w:t>
      </w:r>
      <w:r>
        <w:rPr>
          <w:spacing w:val="-27"/>
          <w:sz w:val="21"/>
        </w:rPr>
        <w:t xml:space="preserve">至 </w:t>
      </w:r>
      <w:r>
        <w:rPr>
          <w:rFonts w:ascii="Calibri" w:hAnsi="Calibri" w:eastAsia="Calibri"/>
          <w:sz w:val="21"/>
        </w:rPr>
        <w:t>2.5.3</w:t>
      </w:r>
      <w:r>
        <w:rPr>
          <w:rFonts w:ascii="Calibri" w:hAnsi="Calibri" w:eastAsia="Calibri"/>
          <w:spacing w:val="6"/>
          <w:sz w:val="21"/>
        </w:rPr>
        <w:t xml:space="preserve"> </w:t>
      </w:r>
      <w:r>
        <w:rPr>
          <w:sz w:val="21"/>
        </w:rPr>
        <w:t>所有条款的投标人；</w:t>
      </w:r>
    </w:p>
    <w:p>
      <w:pPr>
        <w:pStyle w:val="18"/>
        <w:numPr>
          <w:ilvl w:val="2"/>
          <w:numId w:val="4"/>
        </w:numPr>
        <w:tabs>
          <w:tab w:val="left" w:pos="1338"/>
        </w:tabs>
        <w:spacing w:line="360" w:lineRule="auto"/>
        <w:ind w:hanging="477"/>
        <w:rPr>
          <w:sz w:val="21"/>
        </w:rPr>
      </w:pPr>
      <w:r>
        <w:rPr>
          <w:sz w:val="21"/>
        </w:rPr>
        <w:t>按招标文件的规定递交了投标文件；</w:t>
      </w:r>
    </w:p>
    <w:p>
      <w:pPr>
        <w:pStyle w:val="18"/>
        <w:numPr>
          <w:ilvl w:val="2"/>
          <w:numId w:val="4"/>
        </w:numPr>
        <w:tabs>
          <w:tab w:val="left" w:pos="1338"/>
        </w:tabs>
        <w:spacing w:line="360" w:lineRule="auto"/>
        <w:ind w:hanging="477"/>
        <w:rPr>
          <w:sz w:val="21"/>
        </w:rPr>
      </w:pPr>
      <w:r>
        <w:rPr>
          <w:sz w:val="21"/>
        </w:rPr>
        <w:t>在同一招标项目中，未出现其他投标人与其法定代表人相同的投标人；</w:t>
      </w:r>
    </w:p>
    <w:p>
      <w:pPr>
        <w:pStyle w:val="18"/>
        <w:numPr>
          <w:ilvl w:val="2"/>
          <w:numId w:val="4"/>
        </w:numPr>
        <w:tabs>
          <w:tab w:val="left" w:pos="1338"/>
        </w:tabs>
        <w:spacing w:line="360" w:lineRule="auto"/>
        <w:ind w:hanging="477"/>
        <w:rPr>
          <w:sz w:val="21"/>
        </w:rPr>
      </w:pPr>
      <w:r>
        <w:rPr>
          <w:sz w:val="21"/>
        </w:rPr>
        <w:t>未出现投标人与其母公司、全资子公司或控股公司，在同一招标项目中同时投标；</w:t>
      </w:r>
    </w:p>
    <w:p>
      <w:pPr>
        <w:pStyle w:val="18"/>
        <w:numPr>
          <w:ilvl w:val="1"/>
          <w:numId w:val="4"/>
        </w:numPr>
        <w:tabs>
          <w:tab w:val="left" w:pos="1126"/>
        </w:tabs>
        <w:spacing w:line="360" w:lineRule="auto"/>
        <w:ind w:left="1128" w:hanging="266"/>
        <w:rPr>
          <w:sz w:val="21"/>
        </w:rPr>
      </w:pPr>
      <w:r>
        <w:rPr>
          <w:sz w:val="21"/>
        </w:rPr>
        <w:t>“中标人”指由招标人通过所选的定标方式选出，并经招标人确认，签订合同的投标人；</w:t>
      </w:r>
    </w:p>
    <w:p>
      <w:pPr>
        <w:pStyle w:val="18"/>
        <w:numPr>
          <w:ilvl w:val="1"/>
          <w:numId w:val="4"/>
        </w:numPr>
        <w:tabs>
          <w:tab w:val="left" w:pos="1126"/>
        </w:tabs>
        <w:spacing w:line="360" w:lineRule="auto"/>
        <w:ind w:left="1128" w:hanging="266"/>
        <w:rPr>
          <w:sz w:val="21"/>
        </w:rPr>
      </w:pPr>
      <w:r>
        <w:rPr>
          <w:sz w:val="21"/>
        </w:rPr>
        <w:t>“评审委员会”是依据《光明新区社区集体经济资金资产资源交易管理暂行办法》（深光规{2018}15 号）有关规定组建的专门负责本次招标中评标工作的临时性机构；</w:t>
      </w:r>
    </w:p>
    <w:p>
      <w:pPr>
        <w:pStyle w:val="18"/>
        <w:numPr>
          <w:ilvl w:val="1"/>
          <w:numId w:val="4"/>
        </w:numPr>
        <w:tabs>
          <w:tab w:val="left" w:pos="1126"/>
        </w:tabs>
        <w:spacing w:line="360" w:lineRule="auto"/>
        <w:ind w:left="1128" w:hanging="266"/>
        <w:rPr>
          <w:sz w:val="21"/>
        </w:rPr>
      </w:pPr>
      <w:r>
        <w:rPr>
          <w:sz w:val="21"/>
        </w:rPr>
        <w:t>“日期”指公历日；</w:t>
      </w:r>
    </w:p>
    <w:p>
      <w:pPr>
        <w:pStyle w:val="18"/>
        <w:numPr>
          <w:ilvl w:val="1"/>
          <w:numId w:val="4"/>
        </w:numPr>
        <w:tabs>
          <w:tab w:val="left" w:pos="1126"/>
        </w:tabs>
        <w:spacing w:line="360" w:lineRule="auto"/>
        <w:ind w:left="1128" w:hanging="266"/>
        <w:rPr>
          <w:sz w:val="21"/>
        </w:rPr>
      </w:pPr>
      <w:r>
        <w:rPr>
          <w:sz w:val="21"/>
        </w:rPr>
        <w:t>“合同”指由本次招标所产生的合同或合约文件；</w:t>
      </w:r>
    </w:p>
    <w:p>
      <w:pPr>
        <w:pStyle w:val="18"/>
        <w:numPr>
          <w:ilvl w:val="1"/>
          <w:numId w:val="4"/>
        </w:numPr>
        <w:tabs>
          <w:tab w:val="left" w:pos="1126"/>
        </w:tabs>
        <w:spacing w:line="360" w:lineRule="auto"/>
        <w:ind w:left="1128" w:hanging="266"/>
        <w:rPr>
          <w:sz w:val="21"/>
        </w:rPr>
      </w:pPr>
      <w:r>
        <w:rPr>
          <w:sz w:val="21"/>
        </w:rPr>
        <w:t>“招标文件”（即招标文件、招标书）系指为了使招标规范有序进行，经与招标人协商，制定的对投标人有约束力的一系列文件；</w:t>
      </w:r>
    </w:p>
    <w:p>
      <w:pPr>
        <w:pStyle w:val="18"/>
        <w:numPr>
          <w:ilvl w:val="1"/>
          <w:numId w:val="4"/>
        </w:numPr>
        <w:tabs>
          <w:tab w:val="left" w:pos="1126"/>
        </w:tabs>
        <w:spacing w:line="360" w:lineRule="auto"/>
        <w:ind w:left="1128" w:hanging="266"/>
        <w:rPr>
          <w:sz w:val="21"/>
        </w:rPr>
      </w:pPr>
      <w:r>
        <w:rPr>
          <w:sz w:val="21"/>
        </w:rPr>
        <w:t>“投标文件”（即投标文件、投标书）系指投标人响应招标文件编制一系列文件，及投标人在谈判过程为响应评审委员会要求形成的双方认可，并经投标人法人代表或法人代表授权人签字有效的文字资料；</w:t>
      </w:r>
    </w:p>
    <w:p>
      <w:pPr>
        <w:pStyle w:val="18"/>
        <w:numPr>
          <w:ilvl w:val="1"/>
          <w:numId w:val="4"/>
        </w:numPr>
        <w:tabs>
          <w:tab w:val="left" w:pos="1126"/>
        </w:tabs>
        <w:spacing w:line="360" w:lineRule="auto"/>
        <w:ind w:left="1125" w:hanging="265"/>
        <w:rPr>
          <w:spacing w:val="-3"/>
          <w:sz w:val="21"/>
        </w:rPr>
      </w:pPr>
      <w:r>
        <w:rPr>
          <w:spacing w:val="-3"/>
          <w:sz w:val="21"/>
        </w:rPr>
        <w:t>招标文件中的标题或题名仅起引导作用，而不应视为对招标文件内容的理解和解释。</w:t>
      </w:r>
    </w:p>
    <w:p>
      <w:pPr>
        <w:pStyle w:val="18"/>
        <w:numPr>
          <w:ilvl w:val="1"/>
          <w:numId w:val="4"/>
        </w:numPr>
        <w:tabs>
          <w:tab w:val="left" w:pos="1126"/>
        </w:tabs>
        <w:spacing w:line="360" w:lineRule="auto"/>
        <w:ind w:left="1125" w:hanging="265"/>
        <w:rPr>
          <w:spacing w:val="-3"/>
          <w:sz w:val="21"/>
        </w:rPr>
      </w:pPr>
      <w:r>
        <w:rPr>
          <w:spacing w:val="-3"/>
          <w:sz w:val="21"/>
        </w:rPr>
        <w:t>“投标费用” 投标人应承担所有与准备和参加投标有关的费用。不论投标的结果如何，招标人、招标代理机构和光明区公共资源交易中心均无义务和责任承担这些费用。</w:t>
      </w:r>
    </w:p>
    <w:p>
      <w:pPr>
        <w:pStyle w:val="5"/>
        <w:numPr>
          <w:ilvl w:val="0"/>
          <w:numId w:val="4"/>
        </w:numPr>
        <w:tabs>
          <w:tab w:val="left" w:pos="654"/>
        </w:tabs>
        <w:spacing w:line="360" w:lineRule="auto"/>
        <w:ind w:left="653" w:hanging="213"/>
      </w:pPr>
      <w:r>
        <w:t>重要事项说明</w:t>
      </w:r>
    </w:p>
    <w:p>
      <w:pPr>
        <w:pStyle w:val="18"/>
        <w:numPr>
          <w:ilvl w:val="1"/>
          <w:numId w:val="4"/>
        </w:numPr>
        <w:tabs>
          <w:tab w:val="left" w:pos="1170"/>
        </w:tabs>
        <w:spacing w:line="360" w:lineRule="auto"/>
        <w:ind w:left="1169" w:hanging="317"/>
        <w:rPr>
          <w:rFonts w:ascii="Calibri" w:eastAsia="Calibri"/>
          <w:sz w:val="21"/>
        </w:rPr>
      </w:pPr>
      <w:r>
        <w:rPr>
          <w:rFonts w:hint="eastAsia"/>
          <w:sz w:val="21"/>
          <w:lang w:val="en-US"/>
        </w:rPr>
        <w:t xml:space="preserve">  </w:t>
      </w:r>
      <w:r>
        <w:rPr>
          <w:sz w:val="21"/>
        </w:rPr>
        <w:t>资格审查</w:t>
      </w:r>
    </w:p>
    <w:p>
      <w:pPr>
        <w:pStyle w:val="18"/>
        <w:numPr>
          <w:ilvl w:val="2"/>
          <w:numId w:val="4"/>
        </w:numPr>
        <w:tabs>
          <w:tab w:val="left" w:pos="1328"/>
        </w:tabs>
        <w:spacing w:line="360" w:lineRule="auto"/>
        <w:ind w:left="1328"/>
        <w:rPr>
          <w:rFonts w:ascii="Calibri" w:eastAsia="Calibri"/>
          <w:sz w:val="21"/>
        </w:rPr>
      </w:pPr>
      <w:r>
        <w:rPr>
          <w:sz w:val="21"/>
        </w:rPr>
        <w:t>资格审查方式采用资格后审。</w:t>
      </w:r>
    </w:p>
    <w:p>
      <w:pPr>
        <w:pStyle w:val="18"/>
        <w:numPr>
          <w:ilvl w:val="2"/>
          <w:numId w:val="4"/>
        </w:numPr>
        <w:tabs>
          <w:tab w:val="left" w:pos="1328"/>
        </w:tabs>
        <w:spacing w:line="360" w:lineRule="auto"/>
        <w:ind w:left="1328"/>
        <w:rPr>
          <w:rFonts w:ascii="Calibri" w:eastAsia="Calibri"/>
          <w:sz w:val="21"/>
        </w:rPr>
      </w:pPr>
      <w:r>
        <w:rPr>
          <w:sz w:val="21"/>
        </w:rPr>
        <w:t>资格后审：是指在开标后对投标人进行的资格审查。</w:t>
      </w:r>
    </w:p>
    <w:p>
      <w:pPr>
        <w:pStyle w:val="18"/>
        <w:numPr>
          <w:ilvl w:val="2"/>
          <w:numId w:val="4"/>
        </w:numPr>
        <w:tabs>
          <w:tab w:val="left" w:pos="1328"/>
        </w:tabs>
        <w:spacing w:line="360" w:lineRule="auto"/>
        <w:ind w:left="1328"/>
        <w:rPr>
          <w:rFonts w:ascii="Calibri" w:eastAsia="Calibri"/>
          <w:sz w:val="21"/>
        </w:rPr>
      </w:pPr>
      <w:r>
        <w:rPr>
          <w:sz w:val="21"/>
        </w:rPr>
        <w:t>资格后审不合格的投标人，其投标无效。</w:t>
      </w:r>
    </w:p>
    <w:p>
      <w:pPr>
        <w:pStyle w:val="18"/>
        <w:numPr>
          <w:ilvl w:val="2"/>
          <w:numId w:val="4"/>
        </w:numPr>
        <w:tabs>
          <w:tab w:val="left" w:pos="1328"/>
        </w:tabs>
        <w:spacing w:line="360" w:lineRule="auto"/>
        <w:ind w:left="1328"/>
        <w:rPr>
          <w:rFonts w:ascii="Calibri" w:eastAsia="Calibri"/>
          <w:sz w:val="21"/>
        </w:rPr>
      </w:pPr>
      <w:r>
        <w:t>投标人不满足</w:t>
      </w:r>
      <w:r>
        <w:rPr>
          <w:rFonts w:hint="eastAsia"/>
        </w:rPr>
        <w:t>招标文件</w:t>
      </w:r>
      <w:r>
        <w:t>其中任何一项实质性条款的将视为投标无效。</w:t>
      </w:r>
    </w:p>
    <w:p>
      <w:pPr>
        <w:pStyle w:val="5"/>
        <w:numPr>
          <w:ilvl w:val="0"/>
          <w:numId w:val="4"/>
        </w:numPr>
        <w:tabs>
          <w:tab w:val="left" w:pos="654"/>
        </w:tabs>
        <w:spacing w:line="360" w:lineRule="auto"/>
        <w:ind w:left="653" w:hanging="213"/>
      </w:pPr>
      <w:r>
        <w:t>投标人责任</w:t>
      </w:r>
    </w:p>
    <w:p>
      <w:pPr>
        <w:pStyle w:val="18"/>
        <w:numPr>
          <w:ilvl w:val="1"/>
          <w:numId w:val="4"/>
        </w:numPr>
        <w:tabs>
          <w:tab w:val="left" w:pos="1170"/>
        </w:tabs>
        <w:spacing w:line="360" w:lineRule="auto"/>
        <w:ind w:left="1169" w:hanging="317"/>
        <w:rPr>
          <w:rFonts w:ascii="Calibri" w:eastAsia="Calibri"/>
          <w:sz w:val="21"/>
        </w:rPr>
      </w:pPr>
      <w:r>
        <w:rPr>
          <w:sz w:val="21"/>
        </w:rPr>
        <w:t>欢迎诚信、有实力和有社会责任心的投标人参与社区集体资产交易</w:t>
      </w:r>
      <w:r>
        <w:rPr>
          <w:rFonts w:hint="eastAsia"/>
          <w:sz w:val="21"/>
        </w:rPr>
        <w:t>活动</w:t>
      </w:r>
      <w:r>
        <w:rPr>
          <w:sz w:val="21"/>
        </w:rPr>
        <w:t>。</w:t>
      </w:r>
    </w:p>
    <w:p>
      <w:pPr>
        <w:pStyle w:val="18"/>
        <w:numPr>
          <w:ilvl w:val="1"/>
          <w:numId w:val="4"/>
        </w:numPr>
        <w:tabs>
          <w:tab w:val="left" w:pos="1170"/>
        </w:tabs>
        <w:spacing w:line="360" w:lineRule="auto"/>
        <w:ind w:right="713" w:firstLine="412"/>
        <w:rPr>
          <w:rFonts w:ascii="Calibri" w:eastAsia="Calibri"/>
          <w:sz w:val="21"/>
        </w:rPr>
      </w:pPr>
      <w:r>
        <w:rPr>
          <w:spacing w:val="-7"/>
          <w:sz w:val="21"/>
        </w:rPr>
        <w:t>投标人在社区集体资产交易项目投标过程中应诚实守信，不弄虚作假，不隐瞒真实情况， 不围标串标，不恶意质疑投诉。如违反上述要求，经核实后，投标人的投标将作废，</w:t>
      </w:r>
      <w:r>
        <w:rPr>
          <w:rFonts w:hint="eastAsia"/>
          <w:spacing w:val="-7"/>
          <w:sz w:val="21"/>
        </w:rPr>
        <w:t>且不予退还投标</w:t>
      </w:r>
      <w:r>
        <w:rPr>
          <w:spacing w:val="-7"/>
          <w:sz w:val="21"/>
        </w:rPr>
        <w:t>保证金，</w:t>
      </w:r>
      <w:r>
        <w:rPr>
          <w:rFonts w:hint="eastAsia"/>
          <w:spacing w:val="-7"/>
          <w:sz w:val="21"/>
        </w:rPr>
        <w:t>且</w:t>
      </w:r>
      <w:r>
        <w:rPr>
          <w:rFonts w:hint="eastAsia"/>
          <w:spacing w:val="-7"/>
          <w:sz w:val="21"/>
          <w:lang w:val="en-US"/>
        </w:rPr>
        <w:t>1至3年内禁止其参与光明区“三资”交易活动，</w:t>
      </w:r>
      <w:r>
        <w:rPr>
          <w:spacing w:val="-7"/>
          <w:sz w:val="21"/>
        </w:rPr>
        <w:t>同时提请监督管理部门给予处罚。</w:t>
      </w:r>
    </w:p>
    <w:p>
      <w:pPr>
        <w:pStyle w:val="5"/>
        <w:numPr>
          <w:ilvl w:val="0"/>
          <w:numId w:val="4"/>
        </w:numPr>
        <w:tabs>
          <w:tab w:val="left" w:pos="757"/>
        </w:tabs>
        <w:spacing w:line="360" w:lineRule="auto"/>
        <w:ind w:hanging="316"/>
      </w:pPr>
      <w:r>
        <w:t>投标人参加社区集体资产交易的条件</w:t>
      </w:r>
    </w:p>
    <w:p>
      <w:pPr>
        <w:pStyle w:val="18"/>
        <w:numPr>
          <w:ilvl w:val="1"/>
          <w:numId w:val="4"/>
        </w:numPr>
        <w:tabs>
          <w:tab w:val="left" w:pos="1175"/>
        </w:tabs>
        <w:spacing w:line="360" w:lineRule="auto"/>
        <w:ind w:right="820" w:firstLine="412"/>
        <w:rPr>
          <w:rFonts w:ascii="Calibri" w:eastAsia="Calibri"/>
          <w:sz w:val="21"/>
        </w:rPr>
      </w:pPr>
      <w:r>
        <w:rPr>
          <w:rFonts w:hint="eastAsia"/>
          <w:spacing w:val="-2"/>
          <w:sz w:val="21"/>
        </w:rPr>
        <w:t>投标人应在投标前到招标公告中规定的时间和指定地点进行报名，并填写《投标报名登记表》登记相关信息</w:t>
      </w:r>
      <w:r>
        <w:rPr>
          <w:spacing w:val="-2"/>
          <w:sz w:val="21"/>
        </w:rPr>
        <w:t xml:space="preserve">，按第二册第三章第 </w:t>
      </w:r>
      <w:r>
        <w:rPr>
          <w:rFonts w:ascii="Calibri" w:eastAsia="Calibri"/>
          <w:sz w:val="21"/>
        </w:rPr>
        <w:t>18</w:t>
      </w:r>
      <w:r>
        <w:rPr>
          <w:rFonts w:ascii="Calibri" w:eastAsia="Calibri"/>
          <w:spacing w:val="7"/>
          <w:sz w:val="21"/>
        </w:rPr>
        <w:t xml:space="preserve"> </w:t>
      </w:r>
      <w:r>
        <w:rPr>
          <w:sz w:val="21"/>
        </w:rPr>
        <w:t>条要求缴纳</w:t>
      </w:r>
      <w:r>
        <w:rPr>
          <w:rFonts w:hint="eastAsia"/>
          <w:sz w:val="21"/>
        </w:rPr>
        <w:t>投标</w:t>
      </w:r>
      <w:r>
        <w:rPr>
          <w:sz w:val="21"/>
        </w:rPr>
        <w:t>保证金。</w:t>
      </w:r>
    </w:p>
    <w:p>
      <w:pPr>
        <w:pStyle w:val="18"/>
        <w:numPr>
          <w:ilvl w:val="1"/>
          <w:numId w:val="4"/>
        </w:numPr>
        <w:tabs>
          <w:tab w:val="left" w:pos="1170"/>
        </w:tabs>
        <w:spacing w:line="360" w:lineRule="auto"/>
        <w:ind w:left="1169" w:hanging="317"/>
        <w:rPr>
          <w:rFonts w:ascii="Calibri" w:eastAsia="Calibri"/>
          <w:sz w:val="21"/>
        </w:rPr>
      </w:pPr>
      <w:r>
        <w:rPr>
          <w:sz w:val="21"/>
        </w:rPr>
        <w:t>投标人资格要求</w:t>
      </w:r>
    </w:p>
    <w:p>
      <w:pPr>
        <w:pStyle w:val="9"/>
        <w:spacing w:line="360" w:lineRule="auto"/>
        <w:ind w:left="852"/>
      </w:pPr>
      <w:r>
        <w:t>参加本项目的投标人应具备的资格条件详见本项目招标公告中“投标人资格要求”的内容。</w:t>
      </w:r>
    </w:p>
    <w:p>
      <w:pPr>
        <w:pStyle w:val="9"/>
        <w:spacing w:line="360" w:lineRule="auto"/>
        <w:ind w:left="852"/>
        <w:rPr>
          <w:lang w:val="en-US"/>
        </w:rPr>
      </w:pPr>
      <w:r>
        <w:rPr>
          <w:rFonts w:hint="eastAsia"/>
          <w:lang w:val="en-US"/>
        </w:rPr>
        <w:t>逾期未参与投标报名，不得参与本次投标。</w:t>
      </w:r>
    </w:p>
    <w:p>
      <w:pPr>
        <w:pStyle w:val="5"/>
        <w:numPr>
          <w:ilvl w:val="0"/>
          <w:numId w:val="4"/>
        </w:numPr>
        <w:tabs>
          <w:tab w:val="left" w:pos="757"/>
        </w:tabs>
        <w:spacing w:line="360" w:lineRule="auto"/>
        <w:ind w:hanging="316"/>
      </w:pPr>
      <w:r>
        <w:t>招标答疑</w:t>
      </w:r>
    </w:p>
    <w:p>
      <w:pPr>
        <w:pStyle w:val="18"/>
        <w:numPr>
          <w:ilvl w:val="1"/>
          <w:numId w:val="4"/>
        </w:numPr>
        <w:tabs>
          <w:tab w:val="left" w:pos="1170"/>
        </w:tabs>
        <w:spacing w:line="360" w:lineRule="auto"/>
        <w:ind w:right="817" w:firstLine="412"/>
        <w:rPr>
          <w:sz w:val="21"/>
          <w:szCs w:val="21"/>
        </w:rPr>
      </w:pPr>
      <w:r>
        <w:rPr>
          <w:rFonts w:hint="eastAsia"/>
          <w:sz w:val="21"/>
          <w:szCs w:val="21"/>
        </w:rPr>
        <w:t>招标答疑的目的是澄清、解答投标人在查阅招标文件后可能提出的与投标有关的疑问或询问。</w:t>
      </w:r>
    </w:p>
    <w:p>
      <w:pPr>
        <w:pStyle w:val="18"/>
        <w:numPr>
          <w:ilvl w:val="1"/>
          <w:numId w:val="4"/>
        </w:numPr>
        <w:tabs>
          <w:tab w:val="left" w:pos="1170"/>
        </w:tabs>
        <w:spacing w:line="360" w:lineRule="auto"/>
        <w:ind w:right="817" w:firstLine="412"/>
        <w:rPr>
          <w:rFonts w:ascii="Calibri" w:eastAsia="Calibri"/>
          <w:sz w:val="21"/>
        </w:rPr>
      </w:pPr>
      <w:r>
        <w:rPr>
          <w:spacing w:val="-2"/>
          <w:sz w:val="21"/>
        </w:rPr>
        <w:t>投标人提出的与投标有关的问题须在招标文件</w:t>
      </w:r>
      <w:r>
        <w:rPr>
          <w:sz w:val="21"/>
        </w:rPr>
        <w:t>规定的答疑截止时间前以书面形式提交给招标人或招标代理机构，逾期不予受理。</w:t>
      </w:r>
    </w:p>
    <w:p>
      <w:pPr>
        <w:pStyle w:val="18"/>
        <w:numPr>
          <w:ilvl w:val="1"/>
          <w:numId w:val="4"/>
        </w:numPr>
        <w:tabs>
          <w:tab w:val="left" w:pos="1175"/>
        </w:tabs>
        <w:spacing w:line="360" w:lineRule="auto"/>
        <w:ind w:right="817" w:firstLine="412"/>
        <w:rPr>
          <w:rFonts w:ascii="Calibri" w:eastAsia="Calibri"/>
          <w:sz w:val="21"/>
        </w:rPr>
      </w:pPr>
      <w:r>
        <w:rPr>
          <w:spacing w:val="3"/>
          <w:sz w:val="21"/>
        </w:rPr>
        <w:t>招标人或招标代理机构将于投标截止前将集中答疑结果及相关补充公告以网上公告方式答复各投标人。</w:t>
      </w:r>
    </w:p>
    <w:p>
      <w:pPr>
        <w:pStyle w:val="18"/>
        <w:numPr>
          <w:ilvl w:val="1"/>
          <w:numId w:val="4"/>
        </w:numPr>
        <w:tabs>
          <w:tab w:val="left" w:pos="1170"/>
        </w:tabs>
        <w:spacing w:line="360" w:lineRule="auto"/>
        <w:ind w:right="817" w:firstLine="412"/>
        <w:jc w:val="both"/>
        <w:rPr>
          <w:rFonts w:ascii="Calibri" w:eastAsia="Calibri"/>
          <w:sz w:val="21"/>
        </w:rPr>
      </w:pPr>
      <w:r>
        <w:rPr>
          <w:spacing w:val="3"/>
          <w:sz w:val="21"/>
        </w:rPr>
        <w:t>如招标人认为有必要组织现场答疑会，投标人应按照招标文件规定的时间或招标人另行书面通知（包括网</w:t>
      </w:r>
      <w:r>
        <w:rPr>
          <w:sz w:val="21"/>
        </w:rPr>
        <w:t>站发布的通知）的时间和地点，参与现场答疑会。</w:t>
      </w:r>
    </w:p>
    <w:p>
      <w:pPr>
        <w:pStyle w:val="18"/>
        <w:numPr>
          <w:ilvl w:val="1"/>
          <w:numId w:val="4"/>
        </w:numPr>
        <w:tabs>
          <w:tab w:val="left" w:pos="1170"/>
        </w:tabs>
        <w:spacing w:line="360" w:lineRule="auto"/>
        <w:ind w:left="1169" w:hanging="317"/>
        <w:rPr>
          <w:rFonts w:ascii="Calibri" w:eastAsia="Calibri"/>
          <w:sz w:val="21"/>
        </w:rPr>
      </w:pPr>
      <w:r>
        <w:rPr>
          <w:sz w:val="21"/>
        </w:rPr>
        <w:t>未参与招标答疑不作为否定投标人资格的理由。</w:t>
      </w:r>
    </w:p>
    <w:p>
      <w:pPr>
        <w:pStyle w:val="5"/>
        <w:numPr>
          <w:ilvl w:val="0"/>
          <w:numId w:val="4"/>
        </w:numPr>
        <w:tabs>
          <w:tab w:val="left" w:pos="757"/>
        </w:tabs>
        <w:spacing w:line="360" w:lineRule="auto"/>
        <w:ind w:hanging="316"/>
      </w:pPr>
      <w:r>
        <w:rPr>
          <w:rFonts w:hint="eastAsia"/>
        </w:rPr>
        <w:t>现场踏勘</w:t>
      </w:r>
    </w:p>
    <w:p>
      <w:pPr>
        <w:pStyle w:val="18"/>
        <w:numPr>
          <w:ilvl w:val="1"/>
          <w:numId w:val="4"/>
        </w:numPr>
        <w:tabs>
          <w:tab w:val="left" w:pos="1170"/>
        </w:tabs>
        <w:spacing w:line="360" w:lineRule="auto"/>
        <w:ind w:right="817" w:firstLine="412"/>
        <w:rPr>
          <w:sz w:val="21"/>
          <w:szCs w:val="21"/>
          <w:highlight w:val="yellow"/>
        </w:rPr>
      </w:pPr>
      <w:r>
        <w:rPr>
          <w:rFonts w:hint="eastAsia"/>
          <w:sz w:val="21"/>
          <w:szCs w:val="21"/>
          <w:highlight w:val="yellow"/>
        </w:rPr>
        <w:t>如</w:t>
      </w:r>
      <w:r>
        <w:rPr>
          <w:highlight w:val="yellow"/>
        </w:rPr>
        <w:t>有需要，</w:t>
      </w:r>
      <w:r>
        <w:rPr>
          <w:rFonts w:hint="eastAsia"/>
          <w:highlight w:val="yellow"/>
        </w:rPr>
        <w:t>招标人</w:t>
      </w:r>
      <w:r>
        <w:rPr>
          <w:highlight w:val="yellow"/>
        </w:rPr>
        <w:t>将组织投标人对项目现场及周围环境进行踏勘，以便投标人获取有关</w:t>
      </w:r>
      <w:r>
        <w:rPr>
          <w:rFonts w:hint="eastAsia"/>
          <w:highlight w:val="yellow"/>
        </w:rPr>
        <w:t>编制投标文件和签署合同所需的所有资料。踏勘现场所发生的费用由投标人自己承担，投标人应按招标公告所约定的时间、地点统一踏勘现场</w:t>
      </w:r>
      <w:r>
        <w:rPr>
          <w:rFonts w:hint="eastAsia"/>
          <w:sz w:val="21"/>
          <w:szCs w:val="21"/>
          <w:highlight w:val="yellow"/>
        </w:rPr>
        <w:t>。</w:t>
      </w:r>
    </w:p>
    <w:p>
      <w:pPr>
        <w:pStyle w:val="18"/>
        <w:numPr>
          <w:ilvl w:val="1"/>
          <w:numId w:val="4"/>
        </w:numPr>
        <w:tabs>
          <w:tab w:val="left" w:pos="1170"/>
        </w:tabs>
        <w:spacing w:line="360" w:lineRule="auto"/>
        <w:ind w:right="817" w:firstLine="412"/>
        <w:rPr>
          <w:rFonts w:ascii="Calibri" w:eastAsia="Calibri"/>
          <w:sz w:val="21"/>
          <w:highlight w:val="yellow"/>
        </w:rPr>
      </w:pPr>
      <w:r>
        <w:rPr>
          <w:highlight w:val="yellow"/>
        </w:rPr>
        <w:t>投标人及其人员经过</w:t>
      </w:r>
      <w:r>
        <w:rPr>
          <w:rFonts w:hint="eastAsia"/>
          <w:highlight w:val="yellow"/>
        </w:rPr>
        <w:t>招标人</w:t>
      </w:r>
      <w:r>
        <w:rPr>
          <w:highlight w:val="yellow"/>
        </w:rPr>
        <w:t>的允许，可以踏勘目的进入</w:t>
      </w:r>
      <w:r>
        <w:rPr>
          <w:rFonts w:hint="eastAsia"/>
          <w:highlight w:val="yellow"/>
        </w:rPr>
        <w:t>招标人</w:t>
      </w:r>
      <w:r>
        <w:rPr>
          <w:highlight w:val="yellow"/>
        </w:rPr>
        <w:t>的项目现场。若本项目招标文件要求投标人</w:t>
      </w:r>
      <w:r>
        <w:rPr>
          <w:rFonts w:hint="eastAsia"/>
          <w:highlight w:val="yellow"/>
        </w:rPr>
        <w:t>于统一时间地点踏勘现场的，投标人应当按时前往</w:t>
      </w:r>
      <w:r>
        <w:rPr>
          <w:sz w:val="21"/>
          <w:highlight w:val="yellow"/>
        </w:rPr>
        <w:t>。</w:t>
      </w:r>
    </w:p>
    <w:p>
      <w:pPr>
        <w:pStyle w:val="18"/>
        <w:numPr>
          <w:ilvl w:val="1"/>
          <w:numId w:val="4"/>
        </w:numPr>
        <w:tabs>
          <w:tab w:val="left" w:pos="1175"/>
        </w:tabs>
        <w:spacing w:line="360" w:lineRule="auto"/>
        <w:ind w:right="817" w:firstLine="412"/>
        <w:rPr>
          <w:rFonts w:ascii="Calibri" w:eastAsia="Calibri"/>
          <w:sz w:val="21"/>
          <w:highlight w:val="yellow"/>
        </w:rPr>
      </w:pPr>
      <w:r>
        <w:rPr>
          <w:rFonts w:hint="eastAsia"/>
          <w:highlight w:val="yellow"/>
        </w:rPr>
        <w:t>招标标人或招标代理机构</w:t>
      </w:r>
      <w:r>
        <w:rPr>
          <w:highlight w:val="yellow"/>
        </w:rPr>
        <w:t>必须向投标人提供有关现场的资料和数据</w:t>
      </w:r>
      <w:r>
        <w:rPr>
          <w:spacing w:val="3"/>
          <w:sz w:val="21"/>
          <w:highlight w:val="yellow"/>
        </w:rPr>
        <w:t>。</w:t>
      </w:r>
    </w:p>
    <w:p>
      <w:pPr>
        <w:pStyle w:val="18"/>
        <w:numPr>
          <w:ilvl w:val="1"/>
          <w:numId w:val="4"/>
        </w:numPr>
        <w:tabs>
          <w:tab w:val="left" w:pos="1170"/>
        </w:tabs>
        <w:spacing w:line="360" w:lineRule="auto"/>
        <w:ind w:right="817" w:firstLine="412"/>
        <w:jc w:val="both"/>
        <w:rPr>
          <w:rFonts w:ascii="Calibri" w:eastAsia="Calibri"/>
          <w:sz w:val="21"/>
          <w:highlight w:val="yellow"/>
        </w:rPr>
      </w:pPr>
      <w:r>
        <w:rPr>
          <w:highlight w:val="yellow"/>
        </w:rPr>
        <w:t>任何人或任何组织在踏勘现场时向投标人提交的任何书面或口头上的资料，未经</w:t>
      </w:r>
      <w:r>
        <w:rPr>
          <w:rFonts w:hint="eastAsia"/>
          <w:highlight w:val="yellow"/>
        </w:rPr>
        <w:t>招标人</w:t>
      </w:r>
      <w:r>
        <w:rPr>
          <w:highlight w:val="yellow"/>
        </w:rPr>
        <w:t>在网上发布</w:t>
      </w:r>
      <w:r>
        <w:rPr>
          <w:rFonts w:hint="eastAsia"/>
          <w:highlight w:val="yellow"/>
        </w:rPr>
        <w:t>或书面通知，均作无效处理。招标人或招标代理机构对投标人由此而做出的推论、理解和结论概不负责</w:t>
      </w:r>
      <w:r>
        <w:rPr>
          <w:sz w:val="21"/>
          <w:highlight w:val="yellow"/>
        </w:rPr>
        <w:t>。</w:t>
      </w:r>
    </w:p>
    <w:p>
      <w:pPr>
        <w:pStyle w:val="18"/>
        <w:numPr>
          <w:ilvl w:val="1"/>
          <w:numId w:val="4"/>
        </w:numPr>
        <w:tabs>
          <w:tab w:val="left" w:pos="1170"/>
        </w:tabs>
        <w:spacing w:line="360" w:lineRule="auto"/>
        <w:ind w:right="817" w:firstLine="412"/>
        <w:jc w:val="both"/>
        <w:rPr>
          <w:rFonts w:ascii="Calibri" w:eastAsia="Calibri"/>
          <w:sz w:val="21"/>
          <w:highlight w:val="yellow"/>
        </w:rPr>
      </w:pPr>
      <w:r>
        <w:rPr>
          <w:highlight w:val="yellow"/>
        </w:rPr>
        <w:t>未参与现场踏勘不作为否定投标人资格的理由</w:t>
      </w:r>
      <w:r>
        <w:rPr>
          <w:rFonts w:hint="eastAsia"/>
          <w:highlight w:val="yellow"/>
        </w:rPr>
        <w:t>。</w:t>
      </w:r>
    </w:p>
    <w:p>
      <w:pPr>
        <w:pStyle w:val="4"/>
        <w:tabs>
          <w:tab w:val="left" w:pos="962"/>
        </w:tabs>
        <w:spacing w:before="1"/>
        <w:ind w:left="0" w:right="375"/>
        <w:jc w:val="center"/>
        <w:rPr>
          <w:rFonts w:ascii="黑体" w:hAnsi="黑体" w:eastAsia="黑体"/>
          <w:sz w:val="36"/>
          <w:szCs w:val="36"/>
        </w:rPr>
      </w:pPr>
      <w:bookmarkStart w:id="30" w:name="第二章_招标文件（招租文件）"/>
      <w:bookmarkEnd w:id="30"/>
      <w:r>
        <w:rPr>
          <w:rFonts w:ascii="黑体" w:hAnsi="黑体" w:eastAsia="黑体"/>
          <w:sz w:val="36"/>
          <w:szCs w:val="36"/>
        </w:rPr>
        <w:t>第二章 招标文件</w:t>
      </w:r>
    </w:p>
    <w:p>
      <w:pPr>
        <w:pStyle w:val="5"/>
        <w:numPr>
          <w:ilvl w:val="0"/>
          <w:numId w:val="4"/>
        </w:numPr>
        <w:tabs>
          <w:tab w:val="left" w:pos="757"/>
        </w:tabs>
        <w:spacing w:line="360" w:lineRule="auto"/>
        <w:ind w:hanging="316"/>
      </w:pPr>
      <w:r>
        <w:t>招标文件的编制与组成</w:t>
      </w:r>
    </w:p>
    <w:p>
      <w:pPr>
        <w:pStyle w:val="18"/>
        <w:numPr>
          <w:ilvl w:val="1"/>
          <w:numId w:val="4"/>
        </w:numPr>
        <w:tabs>
          <w:tab w:val="left" w:pos="1223"/>
        </w:tabs>
        <w:spacing w:line="360" w:lineRule="auto"/>
        <w:ind w:right="821" w:firstLine="412"/>
        <w:jc w:val="both"/>
        <w:rPr>
          <w:sz w:val="21"/>
        </w:rPr>
      </w:pPr>
      <w:r>
        <w:rPr>
          <w:spacing w:val="1"/>
          <w:sz w:val="21"/>
        </w:rPr>
        <w:t>招标文件</w:t>
      </w:r>
      <w:r>
        <w:rPr>
          <w:sz w:val="21"/>
        </w:rPr>
        <w:t>共分为招标文件信息、通用条款及专用条款。除以上内容外，招标人或招标代理机构在招标（或谈判）期间发出的答疑纪要和其他补充修改函件，均是招标文件的组成部分，对投标人起约束作用；</w:t>
      </w:r>
    </w:p>
    <w:p>
      <w:pPr>
        <w:pStyle w:val="18"/>
        <w:numPr>
          <w:ilvl w:val="1"/>
          <w:numId w:val="4"/>
        </w:numPr>
        <w:tabs>
          <w:tab w:val="left" w:pos="1273"/>
        </w:tabs>
        <w:spacing w:line="360" w:lineRule="auto"/>
        <w:ind w:right="713" w:firstLine="412"/>
        <w:rPr>
          <w:sz w:val="21"/>
        </w:rPr>
      </w:pPr>
      <w:r>
        <w:rPr>
          <w:sz w:val="21"/>
        </w:rPr>
        <w:t>投标人获取招标文件后，应仔细检查招标文件的所有内容</w:t>
      </w:r>
      <w:r>
        <w:rPr>
          <w:rFonts w:hint="eastAsia"/>
          <w:sz w:val="21"/>
        </w:rPr>
        <w:t>，</w:t>
      </w:r>
      <w:r>
        <w:rPr>
          <w:sz w:val="21"/>
        </w:rPr>
        <w:t>如有残缺应在答疑截止时间之前向招标人或招标代理机构以书面形式提交，否则，由此引起的投标损失自负；投标人同时应认真审阅招标文件所有的事项、格式、条款和规范要求等，如果投标人的投标文件没有按招标文件要求提交全部资料或者投标文件没有对招标文件做出实质性响应，其风险应由投标人自行承担，并根据有关条款规定，其投标有可能被拒绝。</w:t>
      </w:r>
    </w:p>
    <w:p>
      <w:pPr>
        <w:pStyle w:val="18"/>
        <w:numPr>
          <w:ilvl w:val="1"/>
          <w:numId w:val="4"/>
        </w:numPr>
        <w:tabs>
          <w:tab w:val="left" w:pos="1223"/>
        </w:tabs>
        <w:spacing w:line="412" w:lineRule="auto"/>
        <w:ind w:right="820" w:firstLine="412"/>
        <w:jc w:val="both"/>
        <w:rPr>
          <w:sz w:val="21"/>
        </w:rPr>
      </w:pPr>
      <w:r>
        <w:rPr>
          <w:sz w:val="21"/>
        </w:rPr>
        <w:t>任何人或任何组织向投标人提交的任何书面或口头资料，未经招标人在网上发布或书面通知，均作无效处理，不得作为招标文件的组成部分。招标人对投标人由此而做出的推论、理解和结论概不负责。</w:t>
      </w:r>
    </w:p>
    <w:p>
      <w:pPr>
        <w:pStyle w:val="5"/>
        <w:numPr>
          <w:ilvl w:val="0"/>
          <w:numId w:val="4"/>
        </w:numPr>
        <w:tabs>
          <w:tab w:val="left" w:pos="757"/>
        </w:tabs>
        <w:spacing w:line="265" w:lineRule="exact"/>
        <w:ind w:hanging="316"/>
      </w:pPr>
      <w:r>
        <w:t>招标文件的澄清</w:t>
      </w:r>
    </w:p>
    <w:p>
      <w:pPr>
        <w:pStyle w:val="9"/>
        <w:spacing w:before="9"/>
        <w:rPr>
          <w:b/>
          <w:sz w:val="14"/>
        </w:rPr>
      </w:pPr>
    </w:p>
    <w:p>
      <w:pPr>
        <w:pStyle w:val="18"/>
        <w:numPr>
          <w:ilvl w:val="1"/>
          <w:numId w:val="4"/>
        </w:numPr>
        <w:tabs>
          <w:tab w:val="left" w:pos="1223"/>
        </w:tabs>
        <w:spacing w:line="412" w:lineRule="auto"/>
        <w:ind w:right="820" w:firstLine="412"/>
        <w:jc w:val="both"/>
        <w:rPr>
          <w:sz w:val="21"/>
        </w:rPr>
      </w:pPr>
      <w:r>
        <w:rPr>
          <w:sz w:val="21"/>
        </w:rPr>
        <w:t>投标人在收到招标文件后，对招标文件任何部分若有任何疑问，或要求澄清招标文件的，均应在招标公告规定的答疑截止时间内向招标人书面提交。不论是招标人根据需要主动对招标文件进行必要的澄清或是根据投标人的要求对招标文件做出澄清，招标人都将在投标截止日期前（具体时间详见公告）以网站公开发布方式答复所有投标人。澄清纪要作为招标文件的组成部分， 对投标人起约束作用；</w:t>
      </w:r>
    </w:p>
    <w:p>
      <w:pPr>
        <w:pStyle w:val="18"/>
        <w:numPr>
          <w:ilvl w:val="1"/>
          <w:numId w:val="4"/>
        </w:numPr>
        <w:tabs>
          <w:tab w:val="left" w:pos="1223"/>
        </w:tabs>
        <w:spacing w:line="412" w:lineRule="auto"/>
        <w:ind w:right="820" w:firstLine="412"/>
        <w:jc w:val="both"/>
        <w:rPr>
          <w:sz w:val="21"/>
        </w:rPr>
      </w:pPr>
      <w:r>
        <w:rPr>
          <w:sz w:val="21"/>
        </w:rPr>
        <w:t>对于没有提出澄清又参与了该项目投标的投标人将被视为完全认同该招标文件（含澄清纪要），投标截止期后不再受理针对招标文件的相关质疑或投诉。</w:t>
      </w:r>
    </w:p>
    <w:p>
      <w:pPr>
        <w:pStyle w:val="18"/>
        <w:numPr>
          <w:ilvl w:val="1"/>
          <w:numId w:val="4"/>
        </w:numPr>
        <w:tabs>
          <w:tab w:val="left" w:pos="1223"/>
        </w:tabs>
        <w:spacing w:line="412" w:lineRule="auto"/>
        <w:ind w:right="820" w:firstLine="412"/>
        <w:jc w:val="both"/>
        <w:rPr>
          <w:sz w:val="21"/>
        </w:rPr>
      </w:pPr>
      <w:r>
        <w:rPr>
          <w:sz w:val="21"/>
        </w:rPr>
        <w:t>对招标文件中描述有歧意或前后不一致的地方，评审委员会有权进行评判，但对同一条款的评判应适用于每个投标人。</w:t>
      </w:r>
    </w:p>
    <w:p>
      <w:pPr>
        <w:pStyle w:val="5"/>
        <w:numPr>
          <w:ilvl w:val="0"/>
          <w:numId w:val="4"/>
        </w:numPr>
        <w:tabs>
          <w:tab w:val="left" w:pos="863"/>
        </w:tabs>
        <w:spacing w:line="360" w:lineRule="auto"/>
        <w:ind w:left="862" w:hanging="422"/>
      </w:pPr>
      <w:r>
        <w:t>招标文件的修改</w:t>
      </w:r>
    </w:p>
    <w:p>
      <w:pPr>
        <w:pStyle w:val="18"/>
        <w:numPr>
          <w:ilvl w:val="1"/>
          <w:numId w:val="4"/>
        </w:numPr>
        <w:tabs>
          <w:tab w:val="left" w:pos="1324"/>
        </w:tabs>
        <w:spacing w:line="360" w:lineRule="auto"/>
        <w:ind w:right="713" w:firstLine="412"/>
        <w:rPr>
          <w:sz w:val="21"/>
        </w:rPr>
      </w:pPr>
      <w:r>
        <w:rPr>
          <w:sz w:val="21"/>
        </w:rPr>
        <w:t>招标文件发出后，在投标截止日期前任何时候，确需要变更招标内容的</w:t>
      </w:r>
      <w:r>
        <w:rPr>
          <w:rFonts w:hint="eastAsia"/>
          <w:sz w:val="21"/>
        </w:rPr>
        <w:t>，</w:t>
      </w:r>
      <w:r>
        <w:rPr>
          <w:sz w:val="21"/>
        </w:rPr>
        <w:t>招标</w:t>
      </w:r>
      <w:r>
        <w:rPr>
          <w:spacing w:val="-7"/>
          <w:sz w:val="21"/>
        </w:rPr>
        <w:t>人可主动地或在解答投标人提出的澄清问题时对招标文件进行修改；</w:t>
      </w:r>
    </w:p>
    <w:p>
      <w:pPr>
        <w:pStyle w:val="18"/>
        <w:numPr>
          <w:ilvl w:val="1"/>
          <w:numId w:val="4"/>
        </w:numPr>
        <w:tabs>
          <w:tab w:val="left" w:pos="1324"/>
        </w:tabs>
        <w:spacing w:line="360" w:lineRule="auto"/>
        <w:ind w:right="713" w:firstLine="412"/>
        <w:rPr>
          <w:sz w:val="21"/>
        </w:rPr>
      </w:pPr>
      <w:r>
        <w:rPr>
          <w:sz w:val="21"/>
        </w:rPr>
        <w:t>招标文件的修改以书面形式（包括网站公开发布方式）发送给所有投标人，招标文件的修改内容作为招标文件的组成部分，并具有约束力。</w:t>
      </w:r>
    </w:p>
    <w:p>
      <w:pPr>
        <w:pStyle w:val="18"/>
        <w:numPr>
          <w:ilvl w:val="1"/>
          <w:numId w:val="4"/>
        </w:numPr>
        <w:tabs>
          <w:tab w:val="left" w:pos="1324"/>
        </w:tabs>
        <w:spacing w:line="360" w:lineRule="auto"/>
        <w:ind w:right="713" w:firstLine="412"/>
        <w:rPr>
          <w:sz w:val="21"/>
        </w:rPr>
      </w:pPr>
      <w:r>
        <w:rPr>
          <w:sz w:val="21"/>
        </w:rPr>
        <w:t>招标文件、招标文件澄清（答疑）纪要、招标文件修改补充通知内容均以书面（包括网站公开发布方式）明确的内容为准。当招标文件、修改补充通知、澄清（答疑）纪要内容相互矛盾时，以最后发出的通知（或纪要） 或修改文件为准；</w:t>
      </w:r>
    </w:p>
    <w:p>
      <w:pPr>
        <w:pStyle w:val="18"/>
        <w:numPr>
          <w:ilvl w:val="1"/>
          <w:numId w:val="4"/>
        </w:numPr>
        <w:tabs>
          <w:tab w:val="left" w:pos="1324"/>
        </w:tabs>
        <w:spacing w:line="360" w:lineRule="auto"/>
        <w:ind w:right="713" w:firstLine="412"/>
        <w:rPr>
          <w:sz w:val="21"/>
        </w:rPr>
      </w:pPr>
      <w:r>
        <w:rPr>
          <w:sz w:val="21"/>
        </w:rPr>
        <w:t>招标人或招标代理机构保证招标文件澄清（答疑）纪要和招标文件修改补充通知在投标截止时间前以网站公开发布形式或书面形式发送给所有投标人。为使投标人在编写投标文件时有充分时间对招标文件的修改部分进行研究，招标人或招标代理机构可以酌情延长递交投标文件的截止日期，具体时间将在修改补充通知中明确。</w:t>
      </w:r>
    </w:p>
    <w:p>
      <w:pPr>
        <w:pStyle w:val="4"/>
        <w:tabs>
          <w:tab w:val="left" w:pos="962"/>
        </w:tabs>
        <w:spacing w:before="1" w:line="360" w:lineRule="auto"/>
        <w:ind w:left="0" w:right="375"/>
        <w:jc w:val="center"/>
        <w:rPr>
          <w:rFonts w:ascii="黑体" w:hAnsi="黑体" w:eastAsia="黑体"/>
          <w:sz w:val="36"/>
          <w:szCs w:val="36"/>
        </w:rPr>
      </w:pPr>
      <w:bookmarkStart w:id="31" w:name="第三章_投标文件的编制"/>
      <w:bookmarkEnd w:id="31"/>
      <w:r>
        <w:rPr>
          <w:rFonts w:ascii="黑体" w:hAnsi="黑体" w:eastAsia="黑体"/>
          <w:sz w:val="36"/>
          <w:szCs w:val="36"/>
        </w:rPr>
        <w:t>第三章 投标文件的编制</w:t>
      </w:r>
    </w:p>
    <w:p>
      <w:pPr>
        <w:pStyle w:val="5"/>
        <w:numPr>
          <w:ilvl w:val="0"/>
          <w:numId w:val="4"/>
        </w:numPr>
        <w:tabs>
          <w:tab w:val="left" w:pos="863"/>
        </w:tabs>
        <w:spacing w:line="360" w:lineRule="auto"/>
        <w:ind w:left="862" w:hanging="422"/>
      </w:pPr>
      <w:r>
        <w:t>投标文件的语言及度量单位</w:t>
      </w:r>
    </w:p>
    <w:p>
      <w:pPr>
        <w:pStyle w:val="18"/>
        <w:numPr>
          <w:ilvl w:val="1"/>
          <w:numId w:val="4"/>
        </w:numPr>
        <w:tabs>
          <w:tab w:val="left" w:pos="1324"/>
        </w:tabs>
        <w:spacing w:line="360" w:lineRule="auto"/>
        <w:ind w:right="714" w:firstLine="412"/>
        <w:jc w:val="both"/>
        <w:rPr>
          <w:sz w:val="21"/>
        </w:rPr>
      </w:pPr>
      <w:r>
        <w:rPr>
          <w:sz w:val="21"/>
        </w:rPr>
        <w:t>投标人与招标人或招标代理机构之间涉及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pStyle w:val="18"/>
        <w:numPr>
          <w:ilvl w:val="1"/>
          <w:numId w:val="4"/>
        </w:numPr>
        <w:tabs>
          <w:tab w:val="left" w:pos="1324"/>
        </w:tabs>
        <w:spacing w:line="360" w:lineRule="auto"/>
        <w:ind w:right="714" w:firstLine="412"/>
        <w:jc w:val="both"/>
        <w:rPr>
          <w:sz w:val="21"/>
        </w:rPr>
      </w:pPr>
      <w:r>
        <w:rPr>
          <w:sz w:val="21"/>
        </w:rPr>
        <w:t>除技术规范另有规定外，投标文件使用的度量单位，均采用中华人民共和国法定计量单位。</w:t>
      </w:r>
    </w:p>
    <w:p>
      <w:pPr>
        <w:pStyle w:val="5"/>
        <w:numPr>
          <w:ilvl w:val="0"/>
          <w:numId w:val="4"/>
        </w:numPr>
        <w:tabs>
          <w:tab w:val="left" w:pos="863"/>
        </w:tabs>
        <w:spacing w:line="360" w:lineRule="auto"/>
        <w:ind w:left="862" w:hanging="422"/>
      </w:pPr>
      <w:r>
        <w:t>投标文件的组成和语言</w:t>
      </w:r>
    </w:p>
    <w:p>
      <w:pPr>
        <w:pStyle w:val="18"/>
        <w:numPr>
          <w:ilvl w:val="1"/>
          <w:numId w:val="4"/>
        </w:numPr>
        <w:tabs>
          <w:tab w:val="left" w:pos="1324"/>
        </w:tabs>
        <w:spacing w:line="360" w:lineRule="auto"/>
        <w:ind w:left="1323" w:hanging="471"/>
        <w:rPr>
          <w:sz w:val="21"/>
        </w:rPr>
      </w:pPr>
      <w:r>
        <w:rPr>
          <w:sz w:val="21"/>
        </w:rPr>
        <w:t>投标文件的组成</w:t>
      </w:r>
    </w:p>
    <w:p>
      <w:pPr>
        <w:pStyle w:val="9"/>
        <w:spacing w:line="360" w:lineRule="auto"/>
        <w:ind w:left="440" w:right="820" w:firstLine="412"/>
        <w:rPr>
          <w:szCs w:val="22"/>
        </w:rPr>
      </w:pPr>
      <w:r>
        <w:rPr>
          <w:szCs w:val="22"/>
        </w:rPr>
        <w:t>投标文件应包括：开标一览表；纸质版投标文件。</w:t>
      </w:r>
    </w:p>
    <w:p>
      <w:pPr>
        <w:pStyle w:val="9"/>
        <w:spacing w:line="360" w:lineRule="auto"/>
        <w:ind w:left="440" w:right="820" w:firstLine="412"/>
        <w:rPr>
          <w:szCs w:val="22"/>
        </w:rPr>
      </w:pPr>
      <w:r>
        <w:rPr>
          <w:szCs w:val="22"/>
        </w:rPr>
        <w:t>未提供完整的投标文件，将视为无效投标。</w:t>
      </w:r>
    </w:p>
    <w:p>
      <w:pPr>
        <w:pStyle w:val="18"/>
        <w:numPr>
          <w:ilvl w:val="1"/>
          <w:numId w:val="4"/>
        </w:numPr>
        <w:tabs>
          <w:tab w:val="left" w:pos="1324"/>
        </w:tabs>
        <w:spacing w:line="360" w:lineRule="auto"/>
        <w:ind w:left="1323" w:hanging="471"/>
        <w:rPr>
          <w:sz w:val="21"/>
        </w:rPr>
      </w:pPr>
      <w:r>
        <w:rPr>
          <w:sz w:val="21"/>
        </w:rPr>
        <w:t>投标文件的语言：</w:t>
      </w:r>
    </w:p>
    <w:p>
      <w:pPr>
        <w:pStyle w:val="9"/>
        <w:spacing w:line="360" w:lineRule="auto"/>
        <w:ind w:left="440" w:right="820" w:firstLine="412"/>
      </w:pPr>
      <w:r>
        <w:rPr>
          <w:szCs w:val="22"/>
        </w:rPr>
        <w:t>投标文件涉及与投标有关</w:t>
      </w:r>
      <w:r>
        <w:t>的</w:t>
      </w:r>
      <w:r>
        <w:rPr>
          <w:szCs w:val="22"/>
        </w:rPr>
        <w:t>所有往来函电均应用中文书写。投标人提交的支持性文件和印刷的文献可以用另一种语言，但相应的内</w:t>
      </w:r>
      <w:r>
        <w:t>容应翻译成中文，在评标活动中，以翻译本为准。</w:t>
      </w:r>
    </w:p>
    <w:p>
      <w:pPr>
        <w:pStyle w:val="5"/>
        <w:numPr>
          <w:ilvl w:val="0"/>
          <w:numId w:val="4"/>
        </w:numPr>
        <w:tabs>
          <w:tab w:val="left" w:pos="863"/>
        </w:tabs>
        <w:spacing w:before="4" w:line="360" w:lineRule="auto"/>
        <w:ind w:left="862" w:hanging="422"/>
      </w:pPr>
      <w:r>
        <w:t>投标文件格式</w:t>
      </w:r>
    </w:p>
    <w:p>
      <w:pPr>
        <w:pStyle w:val="9"/>
        <w:spacing w:line="360" w:lineRule="auto"/>
        <w:ind w:left="440" w:right="820" w:firstLine="412"/>
        <w:rPr>
          <w:sz w:val="15"/>
        </w:rPr>
      </w:pPr>
      <w:r>
        <w:t>招标人或招标代理机构发出的招标文件补充、修改或澄清文件，都是招标文件不可分割的组成部分。如有冲突，则以发出日期最接近开标日期的文件为准。</w:t>
      </w:r>
    </w:p>
    <w:p>
      <w:pPr>
        <w:pStyle w:val="18"/>
        <w:numPr>
          <w:ilvl w:val="1"/>
          <w:numId w:val="4"/>
        </w:numPr>
        <w:tabs>
          <w:tab w:val="left" w:pos="1324"/>
        </w:tabs>
        <w:spacing w:line="360" w:lineRule="auto"/>
        <w:ind w:left="1323" w:hanging="471"/>
        <w:rPr>
          <w:sz w:val="21"/>
        </w:rPr>
      </w:pPr>
      <w:r>
        <w:rPr>
          <w:sz w:val="21"/>
        </w:rPr>
        <w:t>招标文件的补充、修改或澄清</w:t>
      </w:r>
    </w:p>
    <w:p>
      <w:pPr>
        <w:pStyle w:val="18"/>
        <w:numPr>
          <w:ilvl w:val="1"/>
          <w:numId w:val="4"/>
        </w:numPr>
        <w:tabs>
          <w:tab w:val="left" w:pos="1324"/>
        </w:tabs>
        <w:spacing w:line="360" w:lineRule="auto"/>
        <w:ind w:right="810" w:firstLine="412"/>
        <w:rPr>
          <w:sz w:val="21"/>
        </w:rPr>
      </w:pPr>
      <w:r>
        <w:rPr>
          <w:sz w:val="21"/>
        </w:rPr>
        <w:t>投标人对招标文件提出异议均应在第一册第二章《投标人须知前附表》规定的时间内以书面形式通知招标人或招标代理机构，逾期不予受理。</w:t>
      </w:r>
    </w:p>
    <w:p>
      <w:pPr>
        <w:pStyle w:val="18"/>
        <w:numPr>
          <w:ilvl w:val="1"/>
          <w:numId w:val="4"/>
        </w:numPr>
        <w:tabs>
          <w:tab w:val="left" w:pos="1324"/>
        </w:tabs>
        <w:spacing w:line="360" w:lineRule="auto"/>
        <w:ind w:right="820" w:firstLine="412"/>
        <w:rPr>
          <w:sz w:val="21"/>
        </w:rPr>
      </w:pPr>
      <w:r>
        <w:rPr>
          <w:sz w:val="21"/>
        </w:rPr>
        <w:t>在第一册第二章《投标人须知前附表》规定的时间内，招标人或招标代理机构均有权对招标文件进行补</w:t>
      </w:r>
      <w:r>
        <w:rPr>
          <w:spacing w:val="-1"/>
          <w:sz w:val="21"/>
        </w:rPr>
        <w:t>充、修改或澄清。</w:t>
      </w:r>
    </w:p>
    <w:p>
      <w:pPr>
        <w:pStyle w:val="18"/>
        <w:numPr>
          <w:ilvl w:val="1"/>
          <w:numId w:val="4"/>
        </w:numPr>
        <w:tabs>
          <w:tab w:val="left" w:pos="1324"/>
        </w:tabs>
        <w:spacing w:line="360" w:lineRule="auto"/>
        <w:ind w:right="810" w:firstLine="412"/>
        <w:jc w:val="both"/>
        <w:rPr>
          <w:sz w:val="21"/>
        </w:rPr>
      </w:pPr>
      <w:r>
        <w:rPr>
          <w:sz w:val="21"/>
        </w:rPr>
        <w:t>如投标人认为已公开发布的招标文件含有歧视性条款或不合理的要求，应当在第一册第二章《投标人须知前附表》规定的时间内以书面形式向招标人或招标代理机构提出异议，同时提交相应的证明资料，否则，招标人或招标代理机构视投标人完全理解并认同招标文件的所有内容及条款。</w:t>
      </w:r>
    </w:p>
    <w:p>
      <w:pPr>
        <w:pStyle w:val="18"/>
        <w:numPr>
          <w:ilvl w:val="1"/>
          <w:numId w:val="4"/>
        </w:numPr>
        <w:tabs>
          <w:tab w:val="left" w:pos="1328"/>
        </w:tabs>
        <w:spacing w:line="360" w:lineRule="auto"/>
        <w:ind w:right="820" w:firstLine="412"/>
        <w:jc w:val="both"/>
        <w:rPr>
          <w:sz w:val="21"/>
        </w:rPr>
      </w:pPr>
      <w:r>
        <w:rPr>
          <w:spacing w:val="1"/>
          <w:sz w:val="21"/>
        </w:rPr>
        <w:t>招标文件</w:t>
      </w:r>
      <w:r>
        <w:rPr>
          <w:sz w:val="21"/>
        </w:rPr>
        <w:t>的补充、修改或澄清将在招标人或招标代理机构网站和/</w:t>
      </w:r>
      <w:r>
        <w:rPr>
          <w:spacing w:val="2"/>
          <w:sz w:val="21"/>
        </w:rPr>
        <w:t>或相关政府主管部门网站公告，投标人应密切留意网站公告。补充、修改或澄清公告对其投标有约束力。</w:t>
      </w:r>
    </w:p>
    <w:p>
      <w:pPr>
        <w:spacing w:line="360" w:lineRule="auto"/>
        <w:ind w:left="440" w:right="808" w:firstLine="412"/>
        <w:rPr>
          <w:sz w:val="21"/>
        </w:rPr>
      </w:pPr>
      <w:r>
        <w:rPr>
          <w:sz w:val="21"/>
        </w:rPr>
        <w:t>如招标文件提供了投标文件格式，则</w:t>
      </w:r>
      <w:r>
        <w:rPr>
          <w:bCs/>
          <w:sz w:val="21"/>
        </w:rPr>
        <w:t>投标人提交的投标文件应毫无例外地使用招标文件所提供的相应格式</w:t>
      </w:r>
      <w:r>
        <w:rPr>
          <w:sz w:val="21"/>
        </w:rPr>
        <w:t>（表格可以</w:t>
      </w:r>
      <w:r>
        <w:rPr>
          <w:rFonts w:hint="eastAsia"/>
          <w:sz w:val="21"/>
        </w:rPr>
        <w:t>由投标人</w:t>
      </w:r>
      <w:r>
        <w:rPr>
          <w:sz w:val="21"/>
        </w:rPr>
        <w:t>按同样格式扩展）。</w:t>
      </w:r>
    </w:p>
    <w:p>
      <w:pPr>
        <w:pStyle w:val="5"/>
        <w:numPr>
          <w:ilvl w:val="0"/>
          <w:numId w:val="4"/>
        </w:numPr>
        <w:tabs>
          <w:tab w:val="left" w:pos="863"/>
        </w:tabs>
        <w:spacing w:line="360" w:lineRule="auto"/>
        <w:ind w:left="862" w:hanging="422"/>
      </w:pPr>
      <w:r>
        <w:t>投标货币</w:t>
      </w:r>
    </w:p>
    <w:p>
      <w:pPr>
        <w:pStyle w:val="9"/>
        <w:spacing w:line="360" w:lineRule="auto"/>
        <w:ind w:left="852"/>
      </w:pPr>
      <w:r>
        <w:t>本项目的投标应以人民币</w:t>
      </w:r>
      <w:r>
        <w:rPr>
          <w:rFonts w:hint="eastAsia"/>
        </w:rPr>
        <w:t>单位</w:t>
      </w:r>
      <w:r>
        <w:t>计</w:t>
      </w:r>
      <w:r>
        <w:rPr>
          <w:rFonts w:hint="eastAsia"/>
        </w:rPr>
        <w:t>算</w:t>
      </w:r>
      <w:r>
        <w:t>。</w:t>
      </w:r>
    </w:p>
    <w:p>
      <w:pPr>
        <w:pStyle w:val="5"/>
        <w:numPr>
          <w:ilvl w:val="0"/>
          <w:numId w:val="4"/>
        </w:numPr>
        <w:tabs>
          <w:tab w:val="left" w:pos="863"/>
        </w:tabs>
        <w:spacing w:line="360" w:lineRule="auto"/>
        <w:ind w:left="862" w:hanging="422"/>
      </w:pPr>
      <w:r>
        <w:t>证明投标文件投标技术方案的合格性和符合招标文件规定的文件要求</w:t>
      </w:r>
    </w:p>
    <w:p>
      <w:pPr>
        <w:pStyle w:val="18"/>
        <w:numPr>
          <w:ilvl w:val="1"/>
          <w:numId w:val="4"/>
        </w:numPr>
        <w:tabs>
          <w:tab w:val="left" w:pos="1376"/>
        </w:tabs>
        <w:spacing w:line="360" w:lineRule="auto"/>
        <w:ind w:right="761" w:firstLine="412"/>
        <w:rPr>
          <w:sz w:val="21"/>
        </w:rPr>
      </w:pPr>
      <w:r>
        <w:rPr>
          <w:sz w:val="21"/>
          <w:szCs w:val="21"/>
        </w:rPr>
        <w:t>投标人应提交证明文件证明其投标技术方案合格性符合招标文件规定。该投标技术方案及其证明文件作为</w:t>
      </w:r>
      <w:r>
        <w:rPr>
          <w:sz w:val="21"/>
        </w:rPr>
        <w:t>投标文件的一部分。</w:t>
      </w:r>
    </w:p>
    <w:p>
      <w:pPr>
        <w:pStyle w:val="18"/>
        <w:numPr>
          <w:ilvl w:val="1"/>
          <w:numId w:val="4"/>
        </w:numPr>
        <w:tabs>
          <w:tab w:val="left" w:pos="1376"/>
        </w:tabs>
        <w:spacing w:line="360" w:lineRule="auto"/>
        <w:ind w:right="820" w:firstLine="412"/>
        <w:rPr>
          <w:sz w:val="21"/>
        </w:rPr>
      </w:pPr>
      <w:r>
        <w:rPr>
          <w:sz w:val="21"/>
          <w:szCs w:val="21"/>
        </w:rPr>
        <w:t>投标人提供证明投标技术方案与招标文件的要求相一致的文件，可以是文字资料、图纸、数据或数码照片等，以</w:t>
      </w:r>
      <w:r>
        <w:rPr>
          <w:spacing w:val="-3"/>
          <w:sz w:val="21"/>
        </w:rPr>
        <w:t>证明投标人响应的真实性。</w:t>
      </w:r>
    </w:p>
    <w:p>
      <w:pPr>
        <w:pStyle w:val="18"/>
        <w:numPr>
          <w:ilvl w:val="1"/>
          <w:numId w:val="4"/>
        </w:numPr>
        <w:tabs>
          <w:tab w:val="left" w:pos="1324"/>
        </w:tabs>
        <w:spacing w:line="412" w:lineRule="auto"/>
        <w:ind w:right="820" w:firstLine="412"/>
        <w:rPr>
          <w:sz w:val="21"/>
        </w:rPr>
      </w:pPr>
      <w:r>
        <w:rPr>
          <w:sz w:val="21"/>
          <w:szCs w:val="21"/>
        </w:rPr>
        <w:t>为保证公平公正，除非另有规定或说明，投标人对同一事项时，不得同时提供两套或两套以</w:t>
      </w:r>
      <w:r>
        <w:rPr>
          <w:spacing w:val="-3"/>
          <w:sz w:val="21"/>
        </w:rPr>
        <w:t>上的投标方案。</w:t>
      </w:r>
    </w:p>
    <w:p>
      <w:pPr>
        <w:pStyle w:val="18"/>
        <w:numPr>
          <w:ilvl w:val="1"/>
          <w:numId w:val="4"/>
        </w:numPr>
        <w:tabs>
          <w:tab w:val="left" w:pos="1324"/>
        </w:tabs>
        <w:spacing w:line="267" w:lineRule="exact"/>
        <w:ind w:left="1323" w:hanging="471"/>
        <w:rPr>
          <w:sz w:val="21"/>
        </w:rPr>
      </w:pPr>
      <w:r>
        <w:rPr>
          <w:spacing w:val="-1"/>
          <w:sz w:val="21"/>
        </w:rPr>
        <w:t>评审委员会有权对以谋取中标为目的的技术规格模糊响应</w:t>
      </w:r>
      <w:r>
        <w:rPr>
          <w:sz w:val="21"/>
        </w:rPr>
        <w:t>（如有意照搬照抄招标文件</w:t>
      </w:r>
    </w:p>
    <w:p>
      <w:pPr>
        <w:pStyle w:val="9"/>
        <w:spacing w:before="11"/>
        <w:rPr>
          <w:sz w:val="14"/>
        </w:rPr>
      </w:pPr>
    </w:p>
    <w:p>
      <w:pPr>
        <w:pStyle w:val="9"/>
        <w:spacing w:line="360" w:lineRule="auto"/>
        <w:ind w:left="440" w:right="820"/>
        <w:jc w:val="both"/>
      </w:pPr>
      <w:r>
        <w:t>的技术要求）或虚假响应予以认定。投标人上述行为一经发现或查实，除扣分或投标无效外，还可能被一并处以</w:t>
      </w:r>
      <w:r>
        <w:rPr>
          <w:rFonts w:hint="eastAsia"/>
          <w:spacing w:val="-7"/>
        </w:rPr>
        <w:t>不予退还</w:t>
      </w:r>
      <w:r>
        <w:rPr>
          <w:rFonts w:hint="eastAsia"/>
        </w:rPr>
        <w:t>投标</w:t>
      </w:r>
      <w:r>
        <w:t>保证金的处罚，</w:t>
      </w:r>
      <w:r>
        <w:rPr>
          <w:rFonts w:hint="eastAsia"/>
        </w:rPr>
        <w:t>招标人</w:t>
      </w:r>
      <w:r>
        <w:t>可视情况报社区集体资产交易监督管理部门</w:t>
      </w:r>
      <w:r>
        <w:rPr>
          <w:rFonts w:hint="eastAsia"/>
        </w:rPr>
        <w:t>作</w:t>
      </w:r>
      <w:r>
        <w:t>进一步处理。</w:t>
      </w:r>
    </w:p>
    <w:p>
      <w:pPr>
        <w:pStyle w:val="5"/>
        <w:numPr>
          <w:ilvl w:val="0"/>
          <w:numId w:val="4"/>
        </w:numPr>
        <w:tabs>
          <w:tab w:val="left" w:pos="863"/>
        </w:tabs>
        <w:spacing w:line="360" w:lineRule="auto"/>
        <w:ind w:left="862" w:hanging="422"/>
        <w:jc w:val="both"/>
      </w:pPr>
      <w:r>
        <w:t>投标文件其他证明文件的要求</w:t>
      </w:r>
    </w:p>
    <w:p>
      <w:pPr>
        <w:pStyle w:val="18"/>
        <w:numPr>
          <w:ilvl w:val="1"/>
          <w:numId w:val="4"/>
        </w:numPr>
        <w:tabs>
          <w:tab w:val="left" w:pos="1324"/>
        </w:tabs>
        <w:spacing w:line="360" w:lineRule="auto"/>
        <w:ind w:right="817" w:firstLine="412"/>
        <w:jc w:val="both"/>
        <w:rPr>
          <w:spacing w:val="-2"/>
          <w:sz w:val="21"/>
          <w:szCs w:val="21"/>
        </w:rPr>
      </w:pPr>
      <w:r>
        <w:rPr>
          <w:spacing w:val="-2"/>
          <w:sz w:val="21"/>
          <w:szCs w:val="21"/>
        </w:rPr>
        <w:t>对项目招标文件《评标信息》评分项中涉及的内容以及投标文件初审内容中（资格性审查表、符合性审查表）涉及的资质证书，投标人应提供相关部门出具的证明材料复印件加盖投标人公章，原件备查。上述证明材料应为证件正面、背面和附件标注的全部具体内容；有关材料复印件加盖投标人公章的尺寸和清晰度应该能够被肉眼阅读、识别和判断。若投标人未按要求提供证明材料或提供的是部分证明材料或提供不清晰的证明文件，评审委员会有权认定其投标文件未对招标文件有关需求进行响应，涉及资格性检查或符合性检查的予以投标无效处理，涉及《评标信息》打分项的则该项评分予以 0 分处理。</w:t>
      </w:r>
    </w:p>
    <w:p>
      <w:pPr>
        <w:pStyle w:val="18"/>
        <w:numPr>
          <w:ilvl w:val="1"/>
          <w:numId w:val="4"/>
        </w:numPr>
        <w:tabs>
          <w:tab w:val="left" w:pos="1324"/>
        </w:tabs>
        <w:spacing w:line="360" w:lineRule="auto"/>
        <w:ind w:right="817" w:firstLine="412"/>
        <w:jc w:val="both"/>
        <w:rPr>
          <w:sz w:val="21"/>
        </w:rPr>
      </w:pPr>
      <w:r>
        <w:rPr>
          <w:spacing w:val="-2"/>
          <w:sz w:val="21"/>
          <w:szCs w:val="21"/>
        </w:rPr>
        <w:t>本项目涉及提供的有关资质证书，若原有资质证书处于年审期间，投标人提供年审证明的可按原资</w:t>
      </w:r>
      <w:r>
        <w:rPr>
          <w:spacing w:val="-2"/>
          <w:sz w:val="21"/>
        </w:rPr>
        <w:t>质投标；若投标人正在申报上一级别资质，在未获批准之前，仍按原级别资质投标。</w:t>
      </w:r>
    </w:p>
    <w:p>
      <w:pPr>
        <w:pStyle w:val="5"/>
        <w:numPr>
          <w:ilvl w:val="0"/>
          <w:numId w:val="4"/>
        </w:numPr>
        <w:tabs>
          <w:tab w:val="left" w:pos="863"/>
        </w:tabs>
        <w:spacing w:line="360" w:lineRule="auto"/>
        <w:ind w:left="862" w:hanging="422"/>
      </w:pPr>
      <w:r>
        <w:t>投标有效期</w:t>
      </w:r>
    </w:p>
    <w:p>
      <w:pPr>
        <w:pStyle w:val="18"/>
        <w:numPr>
          <w:ilvl w:val="1"/>
          <w:numId w:val="4"/>
        </w:numPr>
        <w:tabs>
          <w:tab w:val="left" w:pos="1376"/>
        </w:tabs>
        <w:spacing w:line="360" w:lineRule="auto"/>
        <w:ind w:right="820" w:firstLine="412"/>
        <w:jc w:val="both"/>
        <w:rPr>
          <w:sz w:val="21"/>
        </w:rPr>
      </w:pPr>
      <w:r>
        <w:rPr>
          <w:spacing w:val="-2"/>
          <w:sz w:val="21"/>
          <w:szCs w:val="21"/>
        </w:rPr>
        <w:t>投标有效期为从投标截止之日算起的日历天数，具体见“投标人须知前附表”中投标有效期的天数要求</w:t>
      </w:r>
      <w:r>
        <w:rPr>
          <w:spacing w:val="-3"/>
          <w:sz w:val="21"/>
        </w:rPr>
        <w:t>。在此期限内，所有投标文件均保持有效；</w:t>
      </w:r>
    </w:p>
    <w:p>
      <w:pPr>
        <w:pStyle w:val="18"/>
        <w:numPr>
          <w:ilvl w:val="1"/>
          <w:numId w:val="4"/>
        </w:numPr>
        <w:tabs>
          <w:tab w:val="left" w:pos="1376"/>
        </w:tabs>
        <w:spacing w:line="412" w:lineRule="auto"/>
        <w:ind w:right="820" w:firstLine="412"/>
        <w:jc w:val="both"/>
        <w:rPr>
          <w:sz w:val="21"/>
        </w:rPr>
      </w:pPr>
      <w:r>
        <w:rPr>
          <w:spacing w:val="-2"/>
          <w:sz w:val="21"/>
          <w:szCs w:val="21"/>
        </w:rPr>
        <w:t>在特殊的情况下，招标人在原定的投标有效期满之前，招标人可以根据需要以书面形式（包括网站公开发布方式）向投标人提出延长投标有效期的要求，对此要求投标人须以书面形式予以答复，投标人</w:t>
      </w:r>
      <w:r>
        <w:rPr>
          <w:spacing w:val="-6"/>
          <w:sz w:val="21"/>
        </w:rPr>
        <w:t>可以拒绝招标人此项要求，而不被</w:t>
      </w:r>
      <w:r>
        <w:rPr>
          <w:rFonts w:hint="eastAsia"/>
          <w:spacing w:val="-7"/>
          <w:sz w:val="21"/>
        </w:rPr>
        <w:t>不予退还</w:t>
      </w:r>
      <w:r>
        <w:rPr>
          <w:rFonts w:hint="eastAsia"/>
          <w:spacing w:val="-6"/>
          <w:sz w:val="21"/>
        </w:rPr>
        <w:t>投标</w:t>
      </w:r>
      <w:r>
        <w:rPr>
          <w:spacing w:val="-6"/>
          <w:sz w:val="21"/>
        </w:rPr>
        <w:t>保证金，其投标在原投标有效期满后不再有效。同意延长投标有效期的投标人不能要求也不允许修改其投标文件，但应当相应</w:t>
      </w:r>
      <w:r>
        <w:rPr>
          <w:spacing w:val="-14"/>
          <w:sz w:val="21"/>
        </w:rPr>
        <w:t xml:space="preserve">的延长投标担保的有效期，在延长的投标有效期内第二册第三章第 </w:t>
      </w:r>
      <w:r>
        <w:rPr>
          <w:sz w:val="21"/>
        </w:rPr>
        <w:t>18</w:t>
      </w:r>
      <w:r>
        <w:rPr>
          <w:spacing w:val="-9"/>
          <w:sz w:val="21"/>
        </w:rPr>
        <w:t xml:space="preserve"> 条关于</w:t>
      </w:r>
      <w:r>
        <w:rPr>
          <w:rFonts w:hint="eastAsia"/>
          <w:spacing w:val="-9"/>
          <w:sz w:val="21"/>
        </w:rPr>
        <w:t>投标</w:t>
      </w:r>
      <w:r>
        <w:rPr>
          <w:spacing w:val="-9"/>
          <w:sz w:val="21"/>
        </w:rPr>
        <w:t>保证金的退还的规定仍然适用；</w:t>
      </w:r>
    </w:p>
    <w:p>
      <w:pPr>
        <w:pStyle w:val="18"/>
        <w:numPr>
          <w:ilvl w:val="1"/>
          <w:numId w:val="4"/>
        </w:numPr>
        <w:tabs>
          <w:tab w:val="left" w:pos="1376"/>
        </w:tabs>
        <w:spacing w:line="412" w:lineRule="auto"/>
        <w:ind w:right="817" w:firstLine="412"/>
        <w:jc w:val="both"/>
        <w:rPr>
          <w:sz w:val="21"/>
        </w:rPr>
      </w:pPr>
      <w:r>
        <w:rPr>
          <w:spacing w:val="-2"/>
          <w:sz w:val="21"/>
          <w:szCs w:val="21"/>
        </w:rPr>
        <w:t>中标单位的投标文件有效期，截止于完成本招标文件规定的全部项目内容，并通过竣工验收及保修结束。</w:t>
      </w:r>
    </w:p>
    <w:p>
      <w:pPr>
        <w:pStyle w:val="5"/>
        <w:numPr>
          <w:ilvl w:val="0"/>
          <w:numId w:val="4"/>
        </w:numPr>
        <w:tabs>
          <w:tab w:val="left" w:pos="863"/>
        </w:tabs>
        <w:spacing w:line="360" w:lineRule="auto"/>
        <w:ind w:left="862" w:hanging="422"/>
      </w:pPr>
      <w:r>
        <w:rPr>
          <w:rFonts w:hint="eastAsia"/>
        </w:rPr>
        <w:t>投标</w:t>
      </w:r>
      <w:r>
        <w:t>保证金</w:t>
      </w:r>
    </w:p>
    <w:p>
      <w:pPr>
        <w:pStyle w:val="18"/>
        <w:numPr>
          <w:ilvl w:val="1"/>
          <w:numId w:val="4"/>
        </w:numPr>
        <w:tabs>
          <w:tab w:val="left" w:pos="1324"/>
        </w:tabs>
        <w:spacing w:before="1" w:line="360" w:lineRule="auto"/>
        <w:ind w:right="820" w:firstLine="412"/>
        <w:jc w:val="both"/>
        <w:rPr>
          <w:sz w:val="21"/>
        </w:rPr>
      </w:pPr>
      <w:r>
        <w:rPr>
          <w:rFonts w:hint="eastAsia"/>
          <w:spacing w:val="-2"/>
          <w:sz w:val="21"/>
          <w:szCs w:val="21"/>
        </w:rPr>
        <w:t>投标</w:t>
      </w:r>
      <w:r>
        <w:rPr>
          <w:spacing w:val="-2"/>
          <w:sz w:val="21"/>
          <w:szCs w:val="21"/>
        </w:rPr>
        <w:t>保证金是为了保护招标人免因投标人的行为而蒙受损失。招标人因投标人的行为受到损害时可根据本文相</w:t>
      </w:r>
      <w:r>
        <w:rPr>
          <w:spacing w:val="-1"/>
          <w:sz w:val="21"/>
        </w:rPr>
        <w:t>关规定</w:t>
      </w:r>
      <w:r>
        <w:rPr>
          <w:rFonts w:hint="eastAsia"/>
          <w:spacing w:val="-7"/>
          <w:sz w:val="21"/>
        </w:rPr>
        <w:t>不予退还</w:t>
      </w:r>
      <w:r>
        <w:rPr>
          <w:spacing w:val="-1"/>
          <w:sz w:val="21"/>
        </w:rPr>
        <w:t>投标人的</w:t>
      </w:r>
      <w:r>
        <w:rPr>
          <w:rFonts w:hint="eastAsia"/>
          <w:spacing w:val="-1"/>
          <w:sz w:val="21"/>
        </w:rPr>
        <w:t>投标</w:t>
      </w:r>
      <w:r>
        <w:rPr>
          <w:spacing w:val="-1"/>
          <w:sz w:val="21"/>
        </w:rPr>
        <w:t>保证金。</w:t>
      </w:r>
    </w:p>
    <w:p>
      <w:pPr>
        <w:pStyle w:val="18"/>
        <w:numPr>
          <w:ilvl w:val="1"/>
          <w:numId w:val="4"/>
        </w:numPr>
        <w:tabs>
          <w:tab w:val="left" w:pos="1324"/>
        </w:tabs>
        <w:spacing w:before="3" w:line="360" w:lineRule="auto"/>
        <w:ind w:left="1323" w:hanging="471"/>
        <w:rPr>
          <w:sz w:val="21"/>
        </w:rPr>
      </w:pPr>
      <w:r>
        <w:rPr>
          <w:sz w:val="21"/>
        </w:rPr>
        <w:t>如下列任何情况发生时，</w:t>
      </w:r>
      <w:r>
        <w:rPr>
          <w:rFonts w:hint="eastAsia"/>
          <w:sz w:val="21"/>
        </w:rPr>
        <w:t>投标</w:t>
      </w:r>
      <w:r>
        <w:rPr>
          <w:sz w:val="21"/>
        </w:rPr>
        <w:t>保证金将</w:t>
      </w:r>
      <w:r>
        <w:rPr>
          <w:rFonts w:hint="eastAsia"/>
          <w:spacing w:val="-7"/>
          <w:sz w:val="21"/>
        </w:rPr>
        <w:t>不予退还</w:t>
      </w:r>
      <w:r>
        <w:rPr>
          <w:sz w:val="21"/>
        </w:rPr>
        <w:t>。</w:t>
      </w:r>
    </w:p>
    <w:p>
      <w:pPr>
        <w:pStyle w:val="18"/>
        <w:numPr>
          <w:ilvl w:val="0"/>
          <w:numId w:val="5"/>
        </w:numPr>
        <w:tabs>
          <w:tab w:val="left" w:pos="1166"/>
        </w:tabs>
        <w:spacing w:line="360" w:lineRule="auto"/>
        <w:rPr>
          <w:sz w:val="21"/>
        </w:rPr>
      </w:pPr>
      <w:r>
        <w:rPr>
          <w:sz w:val="21"/>
        </w:rPr>
        <w:t>投标人在招标文件中规定的投标有效期内撤回其投标；</w:t>
      </w:r>
    </w:p>
    <w:p>
      <w:pPr>
        <w:pStyle w:val="18"/>
        <w:numPr>
          <w:ilvl w:val="0"/>
          <w:numId w:val="5"/>
        </w:numPr>
        <w:tabs>
          <w:tab w:val="left" w:pos="1166"/>
        </w:tabs>
        <w:spacing w:line="360" w:lineRule="auto"/>
        <w:rPr>
          <w:sz w:val="21"/>
        </w:rPr>
      </w:pPr>
      <w:r>
        <w:rPr>
          <w:sz w:val="21"/>
        </w:rPr>
        <w:t>中标人在规定期限内未能根据本文第二册第十一章规定签订合同；</w:t>
      </w:r>
    </w:p>
    <w:p>
      <w:pPr>
        <w:pStyle w:val="18"/>
        <w:numPr>
          <w:ilvl w:val="0"/>
          <w:numId w:val="5"/>
        </w:numPr>
        <w:tabs>
          <w:tab w:val="left" w:pos="1166"/>
        </w:tabs>
        <w:spacing w:line="360" w:lineRule="auto"/>
        <w:rPr>
          <w:sz w:val="21"/>
        </w:rPr>
      </w:pPr>
      <w:r>
        <w:rPr>
          <w:sz w:val="21"/>
        </w:rPr>
        <w:t>投标人提供虚假投标文件或虚假补充文件：</w:t>
      </w:r>
    </w:p>
    <w:p>
      <w:pPr>
        <w:pStyle w:val="18"/>
        <w:numPr>
          <w:ilvl w:val="0"/>
          <w:numId w:val="5"/>
        </w:numPr>
        <w:tabs>
          <w:tab w:val="left" w:pos="1166"/>
        </w:tabs>
        <w:spacing w:line="360" w:lineRule="auto"/>
        <w:ind w:left="440" w:right="761" w:firstLine="412"/>
        <w:jc w:val="both"/>
        <w:rPr>
          <w:sz w:val="21"/>
        </w:rPr>
      </w:pPr>
      <w:r>
        <w:rPr>
          <w:spacing w:val="-2"/>
          <w:sz w:val="21"/>
          <w:szCs w:val="21"/>
        </w:rPr>
        <w:t>投标人以谋取中标为目的的技术规格模糊响应（如有意照搬照抄招标文件的技术要求）或虚假响应的</w:t>
      </w:r>
      <w:r>
        <w:rPr>
          <w:sz w:val="21"/>
        </w:rPr>
        <w:t>；</w:t>
      </w:r>
    </w:p>
    <w:p>
      <w:pPr>
        <w:pStyle w:val="18"/>
        <w:numPr>
          <w:ilvl w:val="0"/>
          <w:numId w:val="5"/>
        </w:numPr>
        <w:tabs>
          <w:tab w:val="left" w:pos="1166"/>
        </w:tabs>
        <w:spacing w:before="4" w:line="360" w:lineRule="auto"/>
        <w:rPr>
          <w:sz w:val="21"/>
        </w:rPr>
      </w:pPr>
      <w:r>
        <w:rPr>
          <w:sz w:val="21"/>
        </w:rPr>
        <w:t>投标人质疑投诉提供虚假情况。</w:t>
      </w:r>
    </w:p>
    <w:p>
      <w:pPr>
        <w:pStyle w:val="18"/>
        <w:numPr>
          <w:ilvl w:val="0"/>
          <w:numId w:val="5"/>
        </w:numPr>
        <w:tabs>
          <w:tab w:val="left" w:pos="1166"/>
        </w:tabs>
        <w:spacing w:before="4" w:line="360" w:lineRule="auto"/>
        <w:rPr>
          <w:sz w:val="21"/>
        </w:rPr>
      </w:pPr>
      <w:r>
        <w:rPr>
          <w:sz w:val="21"/>
        </w:rPr>
        <w:t>投标人质疑投诉提供虚假情况。</w:t>
      </w:r>
    </w:p>
    <w:p>
      <w:pPr>
        <w:pStyle w:val="18"/>
        <w:numPr>
          <w:ilvl w:val="0"/>
          <w:numId w:val="5"/>
        </w:numPr>
        <w:tabs>
          <w:tab w:val="left" w:pos="1166"/>
        </w:tabs>
        <w:spacing w:before="4" w:line="360" w:lineRule="auto"/>
        <w:rPr>
          <w:sz w:val="21"/>
        </w:rPr>
      </w:pPr>
      <w:r>
        <w:rPr>
          <w:rFonts w:hint="eastAsia"/>
          <w:sz w:val="21"/>
        </w:rPr>
        <w:t>投标人必须按照招标文件要求如期缴纳投标保证金，（投标保证金应在招标文件规定的时间内到达招标人指定的账户，招标人以银行到帐时间为依据（投标保证金须从投标人基本账户转出并提供基本账户开户许可证））否则逾期未缴纳的不得参与本次招标。</w:t>
      </w:r>
    </w:p>
    <w:p>
      <w:pPr>
        <w:pStyle w:val="18"/>
        <w:numPr>
          <w:ilvl w:val="1"/>
          <w:numId w:val="4"/>
        </w:numPr>
        <w:tabs>
          <w:tab w:val="left" w:pos="1324"/>
        </w:tabs>
        <w:spacing w:before="3" w:line="360" w:lineRule="auto"/>
        <w:ind w:left="1323" w:hanging="471"/>
        <w:rPr>
          <w:sz w:val="21"/>
        </w:rPr>
      </w:pPr>
      <w:bookmarkStart w:id="32" w:name="第四章_投标文件的递交"/>
      <w:bookmarkEnd w:id="32"/>
      <w:r>
        <w:rPr>
          <w:rFonts w:hint="eastAsia"/>
          <w:sz w:val="21"/>
        </w:rPr>
        <w:t>投标保证金的退还处理：</w:t>
      </w:r>
    </w:p>
    <w:p>
      <w:pPr>
        <w:pStyle w:val="18"/>
        <w:numPr>
          <w:ilvl w:val="0"/>
          <w:numId w:val="6"/>
        </w:numPr>
        <w:tabs>
          <w:tab w:val="left" w:pos="1166"/>
        </w:tabs>
        <w:spacing w:line="360" w:lineRule="auto"/>
        <w:rPr>
          <w:sz w:val="21"/>
          <w:highlight w:val="yellow"/>
        </w:rPr>
      </w:pPr>
      <w:r>
        <w:rPr>
          <w:sz w:val="21"/>
          <w:highlight w:val="yellow"/>
        </w:rPr>
        <w:t>中标结果公示结束后，未中标投标人凭借退还投标保证金申请书向招标人</w:t>
      </w:r>
      <w:r>
        <w:rPr>
          <w:rFonts w:hint="eastAsia"/>
          <w:sz w:val="21"/>
          <w:highlight w:val="yellow"/>
        </w:rPr>
        <w:t>（或招标代理机构）</w:t>
      </w:r>
      <w:r>
        <w:rPr>
          <w:sz w:val="21"/>
          <w:highlight w:val="yellow"/>
        </w:rPr>
        <w:t>提出申请，招标人</w:t>
      </w:r>
      <w:r>
        <w:rPr>
          <w:rFonts w:hint="eastAsia"/>
          <w:sz w:val="21"/>
          <w:highlight w:val="yellow"/>
        </w:rPr>
        <w:t>（或招标代理机构）</w:t>
      </w:r>
      <w:r>
        <w:rPr>
          <w:sz w:val="21"/>
          <w:highlight w:val="yellow"/>
        </w:rPr>
        <w:t>在5个工作日内无息退还</w:t>
      </w:r>
      <w:r>
        <w:rPr>
          <w:rFonts w:hint="eastAsia"/>
          <w:sz w:val="21"/>
          <w:highlight w:val="yellow"/>
        </w:rPr>
        <w:t>。</w:t>
      </w:r>
    </w:p>
    <w:p>
      <w:pPr>
        <w:pStyle w:val="18"/>
        <w:numPr>
          <w:ilvl w:val="0"/>
          <w:numId w:val="6"/>
        </w:numPr>
        <w:tabs>
          <w:tab w:val="left" w:pos="1166"/>
        </w:tabs>
        <w:spacing w:line="360" w:lineRule="auto"/>
        <w:rPr>
          <w:sz w:val="21"/>
          <w:highlight w:val="yellow"/>
        </w:rPr>
      </w:pPr>
      <w:r>
        <w:rPr>
          <w:rFonts w:hint="eastAsia"/>
          <w:sz w:val="21"/>
          <w:highlight w:val="yellow"/>
        </w:rPr>
        <w:t>由招标人收取投标保证金的，</w:t>
      </w:r>
      <w:r>
        <w:rPr>
          <w:sz w:val="21"/>
          <w:highlight w:val="yellow"/>
        </w:rPr>
        <w:t>中标人投标保证金自动转为租赁押金的一部分</w:t>
      </w:r>
      <w:r>
        <w:rPr>
          <w:rFonts w:hint="eastAsia"/>
          <w:sz w:val="21"/>
          <w:highlight w:val="yellow"/>
        </w:rPr>
        <w:t>，</w:t>
      </w:r>
      <w:r>
        <w:rPr>
          <w:sz w:val="21"/>
          <w:highlight w:val="yellow"/>
        </w:rPr>
        <w:t>中标人应在合同签订之日起五日之内，将剩余押金转入股份公司指定的账户</w:t>
      </w:r>
      <w:r>
        <w:rPr>
          <w:rFonts w:hint="eastAsia"/>
          <w:sz w:val="21"/>
          <w:highlight w:val="yellow"/>
        </w:rPr>
        <w:t>；由招标代理机构收取投标保证金的，中标人在合同签订后凭借退还投标保证金申请书向招标代理机构提出申请，招标代理机构在5个工作日内无息退还。</w:t>
      </w:r>
    </w:p>
    <w:p>
      <w:pPr>
        <w:pStyle w:val="4"/>
        <w:tabs>
          <w:tab w:val="left" w:pos="962"/>
        </w:tabs>
        <w:spacing w:before="1" w:line="360" w:lineRule="auto"/>
        <w:ind w:left="0" w:right="375"/>
        <w:jc w:val="center"/>
        <w:rPr>
          <w:rFonts w:ascii="黑体" w:hAnsi="黑体" w:eastAsia="黑体"/>
          <w:sz w:val="36"/>
          <w:szCs w:val="36"/>
        </w:rPr>
      </w:pPr>
      <w:r>
        <w:rPr>
          <w:rFonts w:ascii="黑体" w:hAnsi="黑体" w:eastAsia="黑体"/>
          <w:sz w:val="36"/>
          <w:szCs w:val="36"/>
        </w:rPr>
        <w:t>第四章 投标文件的递交</w:t>
      </w:r>
    </w:p>
    <w:p>
      <w:pPr>
        <w:pStyle w:val="5"/>
        <w:numPr>
          <w:ilvl w:val="0"/>
          <w:numId w:val="4"/>
        </w:numPr>
        <w:tabs>
          <w:tab w:val="left" w:pos="863"/>
        </w:tabs>
        <w:spacing w:line="360" w:lineRule="auto"/>
        <w:ind w:left="862" w:hanging="422"/>
        <w:rPr>
          <w:b w:val="0"/>
          <w:bCs w:val="0"/>
          <w:szCs w:val="22"/>
          <w:lang w:val="en-US"/>
        </w:rPr>
      </w:pPr>
      <w:r>
        <w:rPr>
          <w:b w:val="0"/>
          <w:bCs w:val="0"/>
          <w:szCs w:val="22"/>
          <w:lang w:val="en-US"/>
        </w:rPr>
        <w:t>投标文件递交须注意的事项</w:t>
      </w:r>
    </w:p>
    <w:p>
      <w:pPr>
        <w:pStyle w:val="18"/>
        <w:numPr>
          <w:ilvl w:val="1"/>
          <w:numId w:val="4"/>
        </w:numPr>
        <w:tabs>
          <w:tab w:val="left" w:pos="1333"/>
        </w:tabs>
        <w:spacing w:line="360" w:lineRule="auto"/>
        <w:ind w:left="1332" w:hanging="472"/>
        <w:rPr>
          <w:sz w:val="21"/>
          <w:lang w:val="en-US"/>
        </w:rPr>
      </w:pPr>
      <w:r>
        <w:rPr>
          <w:sz w:val="21"/>
          <w:lang w:val="en-US"/>
        </w:rPr>
        <w:t>投标文件的密封和标记。</w:t>
      </w:r>
    </w:p>
    <w:p>
      <w:pPr>
        <w:pStyle w:val="18"/>
        <w:numPr>
          <w:ilvl w:val="2"/>
          <w:numId w:val="4"/>
        </w:numPr>
        <w:tabs>
          <w:tab w:val="left" w:pos="1542"/>
        </w:tabs>
        <w:spacing w:line="360" w:lineRule="auto"/>
        <w:ind w:left="440" w:right="817" w:firstLine="420"/>
        <w:rPr>
          <w:sz w:val="21"/>
          <w:lang w:val="en-US"/>
        </w:rPr>
      </w:pPr>
      <w:r>
        <w:rPr>
          <w:sz w:val="21"/>
          <w:lang w:val="en-US"/>
        </w:rPr>
        <w:t>投标人应携带本项目招标文件要求提供的证明材料，将投标文件正本和副本密封，一正</w:t>
      </w:r>
      <w:r>
        <w:rPr>
          <w:rFonts w:hint="eastAsia"/>
          <w:sz w:val="21"/>
          <w:lang w:val="en-US"/>
        </w:rPr>
        <w:t>四</w:t>
      </w:r>
      <w:r>
        <w:rPr>
          <w:sz w:val="21"/>
          <w:lang w:val="en-US"/>
        </w:rPr>
        <w:t>副，并标明项目编号、招标项目名称及“正本”或“副本”，投标文件（含正本和副本）应分开独立密封包装，开标一览表另行单独封装。</w:t>
      </w:r>
    </w:p>
    <w:p>
      <w:pPr>
        <w:pStyle w:val="18"/>
        <w:numPr>
          <w:ilvl w:val="2"/>
          <w:numId w:val="4"/>
        </w:numPr>
        <w:tabs>
          <w:tab w:val="left" w:pos="1542"/>
        </w:tabs>
        <w:spacing w:line="360" w:lineRule="auto"/>
        <w:ind w:left="440" w:right="817" w:firstLine="420"/>
        <w:rPr>
          <w:sz w:val="21"/>
          <w:lang w:val="en-US"/>
        </w:rPr>
      </w:pPr>
      <w:r>
        <w:rPr>
          <w:sz w:val="21"/>
          <w:lang w:val="en-US"/>
        </w:rPr>
        <w:t>如投标文件由专人送交，投标人应将投标文件进行密封和标记后，</w:t>
      </w:r>
      <w:r>
        <w:rPr>
          <w:sz w:val="21"/>
          <w:highlight w:val="yellow"/>
          <w:lang w:val="en-US"/>
        </w:rPr>
        <w:t>按招标文件</w:t>
      </w:r>
      <w:r>
        <w:rPr>
          <w:rFonts w:hint="eastAsia"/>
          <w:sz w:val="21"/>
          <w:highlight w:val="yellow"/>
          <w:lang w:val="en-US"/>
        </w:rPr>
        <w:t>要求送往指定地点</w:t>
      </w:r>
      <w:r>
        <w:rPr>
          <w:sz w:val="21"/>
          <w:highlight w:val="yellow"/>
          <w:lang w:val="en-US"/>
        </w:rPr>
        <w:t>。</w:t>
      </w:r>
    </w:p>
    <w:p>
      <w:pPr>
        <w:pStyle w:val="18"/>
        <w:numPr>
          <w:ilvl w:val="2"/>
          <w:numId w:val="4"/>
        </w:numPr>
        <w:tabs>
          <w:tab w:val="left" w:pos="1542"/>
        </w:tabs>
        <w:spacing w:line="360" w:lineRule="auto"/>
        <w:ind w:left="440" w:right="817" w:firstLine="420"/>
        <w:rPr>
          <w:sz w:val="21"/>
          <w:lang w:val="en-US"/>
        </w:rPr>
      </w:pPr>
      <w:r>
        <w:rPr>
          <w:sz w:val="21"/>
          <w:lang w:val="en-US"/>
        </w:rPr>
        <w:t>邮寄、电报、电话、传真形式的投标概不接受。</w:t>
      </w:r>
    </w:p>
    <w:p>
      <w:pPr>
        <w:pStyle w:val="18"/>
        <w:numPr>
          <w:ilvl w:val="2"/>
          <w:numId w:val="4"/>
        </w:numPr>
        <w:tabs>
          <w:tab w:val="left" w:pos="1542"/>
        </w:tabs>
        <w:spacing w:line="360" w:lineRule="auto"/>
        <w:ind w:left="440" w:right="817" w:firstLine="420"/>
        <w:rPr>
          <w:sz w:val="21"/>
          <w:lang w:val="en-US"/>
        </w:rPr>
      </w:pPr>
      <w:r>
        <w:rPr>
          <w:sz w:val="21"/>
          <w:lang w:val="en-US"/>
        </w:rPr>
        <w:t>未按照招标文件提供相关证明材料进行提交投标文件的，招标人或招标代理机构可概不接受。</w:t>
      </w:r>
    </w:p>
    <w:p>
      <w:pPr>
        <w:pStyle w:val="18"/>
        <w:numPr>
          <w:ilvl w:val="1"/>
          <w:numId w:val="4"/>
        </w:numPr>
        <w:tabs>
          <w:tab w:val="left" w:pos="1333"/>
        </w:tabs>
        <w:spacing w:line="360" w:lineRule="auto"/>
        <w:ind w:left="1332" w:hanging="472"/>
        <w:rPr>
          <w:sz w:val="21"/>
          <w:lang w:val="en-US"/>
        </w:rPr>
      </w:pPr>
      <w:r>
        <w:rPr>
          <w:sz w:val="21"/>
          <w:lang w:val="en-US"/>
        </w:rPr>
        <w:t>投标截止时间</w:t>
      </w:r>
    </w:p>
    <w:p>
      <w:pPr>
        <w:pStyle w:val="9"/>
        <w:spacing w:line="360" w:lineRule="auto"/>
        <w:ind w:left="440" w:right="821" w:firstLine="314"/>
        <w:rPr>
          <w:szCs w:val="22"/>
          <w:lang w:val="en-US"/>
        </w:rPr>
      </w:pPr>
      <w:r>
        <w:rPr>
          <w:szCs w:val="22"/>
          <w:lang w:val="en-US"/>
        </w:rPr>
        <w:t>招标人或招标代理机构在招标文件规定的地址收到投标文件的时间不得迟于招标文件所规定的时间。</w:t>
      </w:r>
    </w:p>
    <w:p>
      <w:pPr>
        <w:pStyle w:val="18"/>
        <w:numPr>
          <w:ilvl w:val="1"/>
          <w:numId w:val="4"/>
        </w:numPr>
        <w:tabs>
          <w:tab w:val="left" w:pos="1333"/>
        </w:tabs>
        <w:spacing w:line="360" w:lineRule="auto"/>
        <w:ind w:left="1332" w:hanging="472"/>
        <w:rPr>
          <w:sz w:val="21"/>
          <w:lang w:val="en-US"/>
        </w:rPr>
      </w:pPr>
      <w:r>
        <w:rPr>
          <w:sz w:val="21"/>
          <w:lang w:val="en-US"/>
        </w:rPr>
        <w:t>迟交的投标文件</w:t>
      </w:r>
    </w:p>
    <w:p>
      <w:pPr>
        <w:pStyle w:val="9"/>
        <w:spacing w:line="360" w:lineRule="auto"/>
        <w:ind w:left="860"/>
        <w:rPr>
          <w:szCs w:val="22"/>
          <w:lang w:val="en-US"/>
        </w:rPr>
      </w:pPr>
      <w:r>
        <w:rPr>
          <w:szCs w:val="22"/>
          <w:lang w:val="en-US"/>
        </w:rPr>
        <w:t>招标人或招标代理机构将拒绝并原封退回在其规定的投标截止期后收到的任何投标文件。</w:t>
      </w:r>
    </w:p>
    <w:p>
      <w:pPr>
        <w:pStyle w:val="5"/>
        <w:numPr>
          <w:ilvl w:val="0"/>
          <w:numId w:val="4"/>
        </w:numPr>
        <w:tabs>
          <w:tab w:val="left" w:pos="863"/>
        </w:tabs>
        <w:spacing w:line="360" w:lineRule="auto"/>
        <w:ind w:left="862" w:hanging="422"/>
        <w:rPr>
          <w:b w:val="0"/>
          <w:bCs w:val="0"/>
          <w:szCs w:val="22"/>
          <w:lang w:val="en-US"/>
        </w:rPr>
      </w:pPr>
      <w:r>
        <w:rPr>
          <w:b w:val="0"/>
          <w:bCs w:val="0"/>
          <w:szCs w:val="22"/>
          <w:lang w:val="en-US"/>
        </w:rPr>
        <w:t>投标文件的修改和撤销</w:t>
      </w:r>
    </w:p>
    <w:p>
      <w:pPr>
        <w:pStyle w:val="18"/>
        <w:numPr>
          <w:ilvl w:val="1"/>
          <w:numId w:val="4"/>
        </w:numPr>
        <w:tabs>
          <w:tab w:val="left" w:pos="1386"/>
        </w:tabs>
        <w:spacing w:line="360" w:lineRule="auto"/>
        <w:ind w:right="821" w:firstLine="420"/>
        <w:rPr>
          <w:sz w:val="21"/>
          <w:lang w:val="en-US"/>
        </w:rPr>
      </w:pPr>
      <w:r>
        <w:rPr>
          <w:sz w:val="21"/>
          <w:lang w:val="en-US"/>
        </w:rPr>
        <w:t>投标人在递交投标文件后，可以修改或撤回其投标文件，但招标人或招标代理机构必  须在规定的投标截止期之前，收到修改或撤回的书面通知。</w:t>
      </w:r>
    </w:p>
    <w:p>
      <w:pPr>
        <w:pStyle w:val="18"/>
        <w:numPr>
          <w:ilvl w:val="1"/>
          <w:numId w:val="4"/>
        </w:numPr>
        <w:tabs>
          <w:tab w:val="left" w:pos="1386"/>
        </w:tabs>
        <w:spacing w:line="360" w:lineRule="auto"/>
        <w:ind w:right="713" w:firstLine="420"/>
        <w:rPr>
          <w:sz w:val="21"/>
        </w:rPr>
      </w:pPr>
      <w:r>
        <w:rPr>
          <w:sz w:val="21"/>
          <w:lang w:val="en-US"/>
        </w:rPr>
        <w:t>投标人的修改或撤回通知书应按招标</w:t>
      </w:r>
      <w:r>
        <w:rPr>
          <w:sz w:val="21"/>
          <w:szCs w:val="21"/>
        </w:rPr>
        <w:t>文件规定编制、密封、标记和发送</w:t>
      </w:r>
      <w:r>
        <w:rPr>
          <w:rFonts w:hint="eastAsia"/>
          <w:sz w:val="21"/>
          <w:szCs w:val="21"/>
        </w:rPr>
        <w:t>，</w:t>
      </w:r>
      <w:r>
        <w:rPr>
          <w:sz w:val="21"/>
          <w:szCs w:val="21"/>
        </w:rPr>
        <w:t>并应在封套上加注“修改”或“撤回</w:t>
      </w:r>
      <w:r>
        <w:rPr>
          <w:spacing w:val="-10"/>
          <w:sz w:val="21"/>
        </w:rPr>
        <w:t>”字样。</w:t>
      </w:r>
    </w:p>
    <w:p>
      <w:pPr>
        <w:pStyle w:val="4"/>
        <w:tabs>
          <w:tab w:val="left" w:pos="962"/>
        </w:tabs>
        <w:spacing w:before="1" w:line="360" w:lineRule="auto"/>
        <w:ind w:left="0" w:right="375"/>
        <w:jc w:val="center"/>
        <w:rPr>
          <w:rFonts w:ascii="黑体" w:hAnsi="黑体" w:eastAsia="黑体"/>
          <w:sz w:val="36"/>
          <w:szCs w:val="36"/>
        </w:rPr>
      </w:pPr>
      <w:bookmarkStart w:id="33" w:name="第五章_开标"/>
      <w:bookmarkEnd w:id="33"/>
      <w:r>
        <w:rPr>
          <w:rFonts w:ascii="黑体" w:hAnsi="黑体" w:eastAsia="黑体"/>
          <w:sz w:val="36"/>
          <w:szCs w:val="36"/>
        </w:rPr>
        <w:t>第五章 开标</w:t>
      </w:r>
    </w:p>
    <w:p>
      <w:pPr>
        <w:pStyle w:val="5"/>
        <w:numPr>
          <w:ilvl w:val="0"/>
          <w:numId w:val="4"/>
        </w:numPr>
        <w:tabs>
          <w:tab w:val="left" w:pos="863"/>
        </w:tabs>
        <w:spacing w:line="360" w:lineRule="auto"/>
        <w:ind w:left="862" w:hanging="422"/>
      </w:pPr>
      <w:r>
        <w:t>开标</w:t>
      </w:r>
    </w:p>
    <w:p>
      <w:pPr>
        <w:pStyle w:val="18"/>
        <w:numPr>
          <w:ilvl w:val="1"/>
          <w:numId w:val="4"/>
        </w:numPr>
        <w:tabs>
          <w:tab w:val="left" w:pos="1273"/>
        </w:tabs>
        <w:spacing w:line="360" w:lineRule="auto"/>
        <w:ind w:right="820" w:firstLine="360"/>
        <w:rPr>
          <w:sz w:val="21"/>
        </w:rPr>
      </w:pPr>
      <w:r>
        <w:rPr>
          <w:sz w:val="21"/>
        </w:rPr>
        <w:t>招标人或招标代理机构根据招标文件规定的时间、地点对投标文件进行解封、开标，并现场宣读开标一览表。</w:t>
      </w:r>
    </w:p>
    <w:p>
      <w:pPr>
        <w:pStyle w:val="18"/>
        <w:numPr>
          <w:ilvl w:val="1"/>
          <w:numId w:val="4"/>
        </w:numPr>
        <w:tabs>
          <w:tab w:val="left" w:pos="1273"/>
        </w:tabs>
        <w:spacing w:before="55" w:line="360" w:lineRule="auto"/>
        <w:ind w:right="820" w:firstLine="360"/>
      </w:pPr>
      <w:r>
        <w:rPr>
          <w:sz w:val="21"/>
        </w:rPr>
        <w:t>递交投标文件：投标人应派代表参加，投标人代表应在招标文件要求的投标截止时间前填写《投标单位签到表》（此表仅作为登记之用，不代表招标人已接受其投标</w:t>
      </w:r>
      <w:r>
        <w:t>文件），以示出席。如未能在投标截止时间之前及时填写，所产生的不利后果由投标人自行承担。</w:t>
      </w:r>
    </w:p>
    <w:p>
      <w:pPr>
        <w:pStyle w:val="18"/>
        <w:numPr>
          <w:ilvl w:val="1"/>
          <w:numId w:val="4"/>
        </w:numPr>
        <w:tabs>
          <w:tab w:val="left" w:pos="1333"/>
        </w:tabs>
        <w:spacing w:line="360" w:lineRule="auto"/>
        <w:ind w:right="817" w:firstLine="420"/>
        <w:rPr>
          <w:sz w:val="21"/>
          <w:szCs w:val="21"/>
        </w:rPr>
      </w:pPr>
      <w:r>
        <w:rPr>
          <w:sz w:val="21"/>
          <w:szCs w:val="21"/>
        </w:rPr>
        <w:t>开标时，招标人或招标代理机构当众宣读投标人名称、修改和撤回的通知、开标一览表的内容。</w:t>
      </w:r>
    </w:p>
    <w:p>
      <w:pPr>
        <w:pStyle w:val="18"/>
        <w:numPr>
          <w:ilvl w:val="1"/>
          <w:numId w:val="4"/>
        </w:numPr>
        <w:tabs>
          <w:tab w:val="left" w:pos="1273"/>
        </w:tabs>
        <w:spacing w:line="360" w:lineRule="auto"/>
        <w:ind w:right="820" w:firstLine="360"/>
        <w:rPr>
          <w:sz w:val="21"/>
        </w:rPr>
      </w:pPr>
      <w:r>
        <w:rPr>
          <w:sz w:val="21"/>
        </w:rPr>
        <w:t>除了按照规定原封退回迟到的投标之外，开标时不得拒绝任何已报名的投标人的投标文件投标。</w:t>
      </w:r>
    </w:p>
    <w:p>
      <w:pPr>
        <w:pStyle w:val="18"/>
        <w:numPr>
          <w:ilvl w:val="1"/>
          <w:numId w:val="4"/>
        </w:numPr>
        <w:tabs>
          <w:tab w:val="left" w:pos="1273"/>
        </w:tabs>
        <w:spacing w:line="360" w:lineRule="auto"/>
        <w:ind w:right="820" w:firstLine="360"/>
        <w:rPr>
          <w:sz w:val="21"/>
        </w:rPr>
      </w:pPr>
      <w:r>
        <w:rPr>
          <w:sz w:val="21"/>
        </w:rPr>
        <w:t>开标时没有启封和读出的投标文件，在评标时将不予考虑。没有启封和读出的投标文件将原封退回给投标人。</w:t>
      </w:r>
    </w:p>
    <w:p>
      <w:pPr>
        <w:pStyle w:val="18"/>
        <w:numPr>
          <w:ilvl w:val="1"/>
          <w:numId w:val="4"/>
        </w:numPr>
        <w:tabs>
          <w:tab w:val="left" w:pos="1271"/>
        </w:tabs>
        <w:spacing w:line="360" w:lineRule="auto"/>
        <w:ind w:right="713" w:firstLine="360"/>
        <w:rPr>
          <w:sz w:val="21"/>
        </w:rPr>
      </w:pPr>
      <w:r>
        <w:rPr>
          <w:spacing w:val="-5"/>
          <w:sz w:val="21"/>
        </w:rPr>
        <w:t>投标人对开标有异议的，应当在开标现场提出。招标人或招标代理机构将做开标记录， 并要求出席有关人员签字确认。</w:t>
      </w:r>
    </w:p>
    <w:p>
      <w:pPr>
        <w:pStyle w:val="18"/>
        <w:numPr>
          <w:ilvl w:val="1"/>
          <w:numId w:val="4"/>
        </w:numPr>
        <w:tabs>
          <w:tab w:val="left" w:pos="1271"/>
        </w:tabs>
        <w:spacing w:line="360" w:lineRule="auto"/>
        <w:ind w:left="1270" w:hanging="470"/>
        <w:rPr>
          <w:sz w:val="21"/>
          <w:highlight w:val="yellow"/>
        </w:rPr>
      </w:pPr>
      <w:r>
        <w:rPr>
          <w:rFonts w:hint="eastAsia"/>
          <w:sz w:val="21"/>
          <w:highlight w:val="yellow"/>
        </w:rPr>
        <w:t>投标人少于</w:t>
      </w:r>
      <w:r>
        <w:rPr>
          <w:sz w:val="21"/>
          <w:highlight w:val="yellow"/>
        </w:rPr>
        <w:t>3</w:t>
      </w:r>
      <w:r>
        <w:rPr>
          <w:spacing w:val="-8"/>
          <w:sz w:val="21"/>
          <w:highlight w:val="yellow"/>
        </w:rPr>
        <w:t xml:space="preserve"> 家的，不得</w:t>
      </w:r>
      <w:r>
        <w:rPr>
          <w:rFonts w:hint="eastAsia"/>
          <w:spacing w:val="-8"/>
          <w:sz w:val="21"/>
          <w:highlight w:val="yellow"/>
        </w:rPr>
        <w:t>开</w:t>
      </w:r>
      <w:r>
        <w:rPr>
          <w:spacing w:val="-8"/>
          <w:sz w:val="21"/>
          <w:highlight w:val="yellow"/>
        </w:rPr>
        <w:t>标。</w:t>
      </w:r>
    </w:p>
    <w:p>
      <w:pPr>
        <w:pStyle w:val="18"/>
        <w:numPr>
          <w:ilvl w:val="1"/>
          <w:numId w:val="4"/>
        </w:numPr>
        <w:tabs>
          <w:tab w:val="left" w:pos="1271"/>
        </w:tabs>
        <w:spacing w:line="360" w:lineRule="auto"/>
        <w:ind w:left="1270" w:hanging="470"/>
        <w:rPr>
          <w:sz w:val="21"/>
          <w:highlight w:val="yellow"/>
        </w:rPr>
      </w:pPr>
      <w:r>
        <w:rPr>
          <w:rFonts w:hint="eastAsia"/>
          <w:spacing w:val="-8"/>
          <w:sz w:val="21"/>
          <w:highlight w:val="yellow"/>
        </w:rPr>
        <w:t>有效投标人少于3家的，不得评标。</w:t>
      </w:r>
    </w:p>
    <w:p>
      <w:pPr>
        <w:pStyle w:val="4"/>
        <w:tabs>
          <w:tab w:val="left" w:pos="962"/>
        </w:tabs>
        <w:spacing w:before="1" w:line="360" w:lineRule="auto"/>
        <w:ind w:left="0" w:right="375"/>
        <w:jc w:val="center"/>
        <w:rPr>
          <w:rFonts w:ascii="黑体" w:hAnsi="黑体" w:eastAsia="黑体"/>
          <w:sz w:val="36"/>
          <w:szCs w:val="36"/>
        </w:rPr>
      </w:pPr>
      <w:bookmarkStart w:id="34" w:name="第六章_评标要求"/>
      <w:bookmarkEnd w:id="34"/>
      <w:r>
        <w:rPr>
          <w:rFonts w:ascii="黑体" w:hAnsi="黑体" w:eastAsia="黑体"/>
          <w:sz w:val="36"/>
          <w:szCs w:val="36"/>
        </w:rPr>
        <w:t>第六章 评标</w:t>
      </w:r>
    </w:p>
    <w:p>
      <w:pPr>
        <w:pStyle w:val="5"/>
        <w:numPr>
          <w:ilvl w:val="0"/>
          <w:numId w:val="4"/>
        </w:numPr>
        <w:tabs>
          <w:tab w:val="left" w:pos="863"/>
        </w:tabs>
        <w:spacing w:line="360" w:lineRule="auto"/>
        <w:ind w:left="862" w:hanging="422"/>
      </w:pPr>
      <w:r>
        <w:t>评审委员会组成</w:t>
      </w:r>
    </w:p>
    <w:p>
      <w:pPr>
        <w:pStyle w:val="18"/>
        <w:numPr>
          <w:ilvl w:val="1"/>
          <w:numId w:val="4"/>
        </w:numPr>
        <w:tabs>
          <w:tab w:val="left" w:pos="1324"/>
        </w:tabs>
        <w:spacing w:line="360" w:lineRule="auto"/>
        <w:ind w:left="1323" w:hanging="471"/>
        <w:rPr>
          <w:sz w:val="21"/>
        </w:rPr>
      </w:pPr>
      <w:r>
        <w:rPr>
          <w:sz w:val="21"/>
        </w:rPr>
        <w:t>开标结束后召开评标会议，评审委员会由招标人依法组建，负责评标活动。</w:t>
      </w:r>
    </w:p>
    <w:p>
      <w:pPr>
        <w:pStyle w:val="9"/>
        <w:spacing w:line="360" w:lineRule="auto"/>
        <w:ind w:left="440" w:right="820" w:firstLine="412"/>
      </w:pPr>
      <w:r>
        <w:rPr>
          <w:spacing w:val="-5"/>
        </w:rPr>
        <w:t xml:space="preserve">项目评审委员会由 </w:t>
      </w:r>
      <w:r>
        <w:t>5</w:t>
      </w:r>
      <w:r>
        <w:rPr>
          <w:spacing w:val="-6"/>
        </w:rPr>
        <w:t xml:space="preserve"> 人组成，评审专家的管理参照《深圳市政府采购评审专家管理暂行办法》执行。社区股份公司代表须持本单位签发的《评标授权书》参加评标。</w:t>
      </w:r>
    </w:p>
    <w:p>
      <w:pPr>
        <w:pStyle w:val="18"/>
        <w:numPr>
          <w:ilvl w:val="1"/>
          <w:numId w:val="4"/>
        </w:numPr>
        <w:tabs>
          <w:tab w:val="left" w:pos="1324"/>
        </w:tabs>
        <w:spacing w:line="360" w:lineRule="auto"/>
        <w:ind w:left="1323" w:hanging="471"/>
        <w:rPr>
          <w:sz w:val="21"/>
        </w:rPr>
      </w:pPr>
      <w:r>
        <w:rPr>
          <w:sz w:val="21"/>
        </w:rPr>
        <w:t>评标定标应当遵循公平、公正、科学、择优的原则。</w:t>
      </w:r>
    </w:p>
    <w:p>
      <w:pPr>
        <w:pStyle w:val="18"/>
        <w:numPr>
          <w:ilvl w:val="1"/>
          <w:numId w:val="4"/>
        </w:numPr>
        <w:tabs>
          <w:tab w:val="left" w:pos="1324"/>
        </w:tabs>
        <w:spacing w:line="360" w:lineRule="auto"/>
        <w:ind w:left="1323" w:hanging="471"/>
        <w:rPr>
          <w:sz w:val="21"/>
        </w:rPr>
      </w:pPr>
      <w:r>
        <w:rPr>
          <w:sz w:val="21"/>
        </w:rPr>
        <w:t>评标活动依法进行，任何单位和个人不得非法干预评标过程和结果。</w:t>
      </w:r>
    </w:p>
    <w:p>
      <w:pPr>
        <w:pStyle w:val="18"/>
        <w:numPr>
          <w:ilvl w:val="1"/>
          <w:numId w:val="4"/>
        </w:numPr>
        <w:tabs>
          <w:tab w:val="left" w:pos="1324"/>
        </w:tabs>
        <w:spacing w:line="360" w:lineRule="auto"/>
        <w:ind w:right="820" w:firstLine="412"/>
        <w:rPr>
          <w:sz w:val="21"/>
        </w:rPr>
      </w:pPr>
      <w:r>
        <w:rPr>
          <w:sz w:val="21"/>
        </w:rPr>
        <w:t>在评标期间，评标委员会可要求投标人对其投标文件进行澄清，但不得对投标价格等  实质性内容做任何更</w:t>
      </w:r>
      <w:r>
        <w:rPr>
          <w:spacing w:val="-2"/>
          <w:sz w:val="21"/>
        </w:rPr>
        <w:t>改。</w:t>
      </w:r>
    </w:p>
    <w:p>
      <w:pPr>
        <w:pStyle w:val="18"/>
        <w:numPr>
          <w:ilvl w:val="1"/>
          <w:numId w:val="4"/>
        </w:numPr>
        <w:tabs>
          <w:tab w:val="left" w:pos="1324"/>
        </w:tabs>
        <w:spacing w:line="360" w:lineRule="auto"/>
        <w:ind w:right="817" w:firstLine="412"/>
        <w:rPr>
          <w:sz w:val="21"/>
        </w:rPr>
      </w:pPr>
      <w:r>
        <w:rPr>
          <w:spacing w:val="-2"/>
          <w:sz w:val="21"/>
        </w:rPr>
        <w:t>评标委员会工作要求本着公平、公正的原则，严格按照招标文件</w:t>
      </w:r>
      <w:r>
        <w:rPr>
          <w:sz w:val="21"/>
        </w:rPr>
        <w:t>的各项规定和要求严谨、客观地进行评标。</w:t>
      </w:r>
    </w:p>
    <w:p>
      <w:pPr>
        <w:pStyle w:val="18"/>
        <w:numPr>
          <w:ilvl w:val="1"/>
          <w:numId w:val="4"/>
        </w:numPr>
        <w:tabs>
          <w:tab w:val="left" w:pos="1324"/>
        </w:tabs>
        <w:spacing w:line="360" w:lineRule="auto"/>
        <w:ind w:left="1323" w:hanging="471"/>
        <w:rPr>
          <w:sz w:val="21"/>
        </w:rPr>
      </w:pPr>
      <w:r>
        <w:rPr>
          <w:sz w:val="21"/>
        </w:rPr>
        <w:t>必须按同一标准对待所有投标人。</w:t>
      </w:r>
    </w:p>
    <w:p>
      <w:pPr>
        <w:pStyle w:val="18"/>
        <w:numPr>
          <w:ilvl w:val="1"/>
          <w:numId w:val="4"/>
        </w:numPr>
        <w:tabs>
          <w:tab w:val="left" w:pos="1324"/>
        </w:tabs>
        <w:spacing w:line="360" w:lineRule="auto"/>
        <w:ind w:left="1323" w:hanging="471"/>
        <w:rPr>
          <w:sz w:val="21"/>
        </w:rPr>
      </w:pPr>
      <w:r>
        <w:rPr>
          <w:sz w:val="21"/>
        </w:rPr>
        <w:t>各评委必须以书面的形式作出自已评标意见的记录，并签名确认。</w:t>
      </w:r>
    </w:p>
    <w:p>
      <w:pPr>
        <w:pStyle w:val="18"/>
        <w:numPr>
          <w:ilvl w:val="1"/>
          <w:numId w:val="4"/>
        </w:numPr>
        <w:tabs>
          <w:tab w:val="left" w:pos="1324"/>
        </w:tabs>
        <w:spacing w:line="360" w:lineRule="auto"/>
        <w:ind w:right="820" w:firstLine="412"/>
        <w:rPr>
          <w:sz w:val="21"/>
        </w:rPr>
      </w:pPr>
      <w:r>
        <w:rPr>
          <w:sz w:val="21"/>
        </w:rPr>
        <w:t>当评委意见不同时，采用少数服从多数的原则。在保留评委个人意见的前提下，服从多</w:t>
      </w:r>
      <w:r>
        <w:rPr>
          <w:spacing w:val="-1"/>
          <w:sz w:val="21"/>
        </w:rPr>
        <w:t>数意见。</w:t>
      </w:r>
    </w:p>
    <w:p>
      <w:pPr>
        <w:pStyle w:val="18"/>
        <w:numPr>
          <w:ilvl w:val="1"/>
          <w:numId w:val="4"/>
        </w:numPr>
        <w:tabs>
          <w:tab w:val="left" w:pos="1324"/>
        </w:tabs>
        <w:spacing w:before="55" w:line="360" w:lineRule="auto"/>
        <w:ind w:right="815" w:firstLine="412"/>
        <w:rPr>
          <w:sz w:val="21"/>
        </w:rPr>
      </w:pPr>
      <w:r>
        <w:rPr>
          <w:sz w:val="21"/>
        </w:rPr>
        <w:t>除非招标文件中有明确规定，评标委员会判断投标文件的响应性，仅基于投标文件本身而不靠其它外部证据。</w:t>
      </w:r>
    </w:p>
    <w:p>
      <w:pPr>
        <w:pStyle w:val="18"/>
        <w:numPr>
          <w:ilvl w:val="1"/>
          <w:numId w:val="4"/>
        </w:numPr>
        <w:tabs>
          <w:tab w:val="left" w:pos="1432"/>
        </w:tabs>
        <w:spacing w:line="360" w:lineRule="auto"/>
        <w:ind w:right="820" w:firstLine="412"/>
        <w:rPr>
          <w:sz w:val="21"/>
        </w:rPr>
      </w:pPr>
      <w:r>
        <w:rPr>
          <w:sz w:val="21"/>
        </w:rPr>
        <w:t>如评委不按上述规定进行评标，则该评委评标结果无效，如评标结果无效的评委数量超过评委总数的半数，则重组评委会重新评标。</w:t>
      </w:r>
    </w:p>
    <w:p>
      <w:pPr>
        <w:pStyle w:val="18"/>
        <w:numPr>
          <w:ilvl w:val="1"/>
          <w:numId w:val="4"/>
        </w:numPr>
        <w:tabs>
          <w:tab w:val="left" w:pos="1432"/>
        </w:tabs>
        <w:spacing w:line="360" w:lineRule="auto"/>
        <w:ind w:right="820" w:firstLine="412"/>
        <w:rPr>
          <w:sz w:val="21"/>
        </w:rPr>
      </w:pPr>
      <w:r>
        <w:rPr>
          <w:sz w:val="21"/>
        </w:rPr>
        <w:t>评委对评标结论持有异议的，应以书面形式阐述其异议，但必须尊重多数评委的意见，在评标结论上签字。如其不书面陈述或拒不签字，则视其同意评标结论。</w:t>
      </w:r>
    </w:p>
    <w:p>
      <w:pPr>
        <w:pStyle w:val="18"/>
        <w:numPr>
          <w:ilvl w:val="1"/>
          <w:numId w:val="4"/>
        </w:numPr>
        <w:tabs>
          <w:tab w:val="left" w:pos="1432"/>
        </w:tabs>
        <w:spacing w:line="360" w:lineRule="auto"/>
        <w:ind w:right="820" w:firstLine="412"/>
        <w:rPr>
          <w:sz w:val="21"/>
        </w:rPr>
      </w:pPr>
      <w:r>
        <w:rPr>
          <w:sz w:val="21"/>
        </w:rPr>
        <w:t>评标过程中不允许违背评标程序或采用招标文件未载明的评标方法或评标因素进行评标。</w:t>
      </w:r>
    </w:p>
    <w:p>
      <w:pPr>
        <w:pStyle w:val="18"/>
        <w:numPr>
          <w:ilvl w:val="1"/>
          <w:numId w:val="4"/>
        </w:numPr>
        <w:tabs>
          <w:tab w:val="left" w:pos="1432"/>
        </w:tabs>
        <w:spacing w:line="360" w:lineRule="auto"/>
        <w:ind w:right="820" w:firstLine="412"/>
        <w:rPr>
          <w:sz w:val="21"/>
        </w:rPr>
      </w:pPr>
      <w:r>
        <w:rPr>
          <w:sz w:val="21"/>
        </w:rPr>
        <w:t>开标后，直到授予中标人合同为止，凡属于对投标文件的审查、澄清、评价和比较的有关资料以及候选中标人的推荐情况、与评标有关的其他任何情况均严格保密。</w:t>
      </w:r>
    </w:p>
    <w:p>
      <w:pPr>
        <w:pStyle w:val="5"/>
        <w:numPr>
          <w:ilvl w:val="0"/>
          <w:numId w:val="4"/>
        </w:numPr>
        <w:tabs>
          <w:tab w:val="left" w:pos="863"/>
        </w:tabs>
        <w:spacing w:line="360" w:lineRule="auto"/>
        <w:ind w:left="862" w:hanging="422"/>
        <w:jc w:val="both"/>
      </w:pPr>
      <w:r>
        <w:t>向评审委员会提供的资料</w:t>
      </w:r>
    </w:p>
    <w:p>
      <w:pPr>
        <w:pStyle w:val="18"/>
        <w:numPr>
          <w:ilvl w:val="1"/>
          <w:numId w:val="4"/>
        </w:numPr>
        <w:tabs>
          <w:tab w:val="left" w:pos="1324"/>
        </w:tabs>
        <w:spacing w:line="360" w:lineRule="auto"/>
        <w:ind w:left="1323" w:hanging="471"/>
        <w:rPr>
          <w:sz w:val="21"/>
        </w:rPr>
      </w:pPr>
      <w:r>
        <w:rPr>
          <w:sz w:val="21"/>
        </w:rPr>
        <w:t>公开发布的招标文件，服务清单、答疑文件等；</w:t>
      </w:r>
    </w:p>
    <w:p>
      <w:pPr>
        <w:pStyle w:val="18"/>
        <w:numPr>
          <w:ilvl w:val="1"/>
          <w:numId w:val="4"/>
        </w:numPr>
        <w:tabs>
          <w:tab w:val="left" w:pos="1324"/>
        </w:tabs>
        <w:spacing w:line="360" w:lineRule="auto"/>
        <w:ind w:left="1323" w:hanging="471"/>
        <w:rPr>
          <w:sz w:val="21"/>
        </w:rPr>
      </w:pPr>
      <w:r>
        <w:rPr>
          <w:sz w:val="21"/>
        </w:rPr>
        <w:t>其他评标必须的资料。</w:t>
      </w:r>
    </w:p>
    <w:p>
      <w:pPr>
        <w:pStyle w:val="18"/>
        <w:numPr>
          <w:ilvl w:val="1"/>
          <w:numId w:val="4"/>
        </w:numPr>
        <w:tabs>
          <w:tab w:val="left" w:pos="1324"/>
        </w:tabs>
        <w:spacing w:line="360" w:lineRule="auto"/>
        <w:ind w:left="1323" w:hanging="471"/>
        <w:rPr>
          <w:sz w:val="21"/>
        </w:rPr>
      </w:pPr>
      <w:r>
        <w:rPr>
          <w:sz w:val="21"/>
        </w:rPr>
        <w:t>评审委员会应当认真研究招标文件，至少应了解熟悉以下内容：</w:t>
      </w:r>
    </w:p>
    <w:p>
      <w:pPr>
        <w:pStyle w:val="18"/>
        <w:numPr>
          <w:ilvl w:val="0"/>
          <w:numId w:val="7"/>
        </w:numPr>
        <w:tabs>
          <w:tab w:val="left" w:pos="1378"/>
        </w:tabs>
        <w:spacing w:line="360" w:lineRule="auto"/>
        <w:rPr>
          <w:sz w:val="21"/>
        </w:rPr>
      </w:pPr>
      <w:r>
        <w:rPr>
          <w:sz w:val="21"/>
        </w:rPr>
        <w:t>招标的目的；</w:t>
      </w:r>
    </w:p>
    <w:p>
      <w:pPr>
        <w:pStyle w:val="18"/>
        <w:numPr>
          <w:ilvl w:val="0"/>
          <w:numId w:val="7"/>
        </w:numPr>
        <w:tabs>
          <w:tab w:val="left" w:pos="1378"/>
        </w:tabs>
        <w:spacing w:line="360" w:lineRule="auto"/>
        <w:rPr>
          <w:sz w:val="21"/>
        </w:rPr>
      </w:pPr>
      <w:r>
        <w:rPr>
          <w:sz w:val="21"/>
        </w:rPr>
        <w:t>招标项目需求的范围和性质；</w:t>
      </w:r>
    </w:p>
    <w:p>
      <w:pPr>
        <w:pStyle w:val="18"/>
        <w:numPr>
          <w:ilvl w:val="0"/>
          <w:numId w:val="7"/>
        </w:numPr>
        <w:tabs>
          <w:tab w:val="left" w:pos="1378"/>
        </w:tabs>
        <w:spacing w:line="360" w:lineRule="auto"/>
        <w:rPr>
          <w:sz w:val="21"/>
        </w:rPr>
      </w:pPr>
      <w:r>
        <w:rPr>
          <w:sz w:val="21"/>
        </w:rPr>
        <w:t>招标文件规定的投标人的资质、预算限额、商务条款；</w:t>
      </w:r>
    </w:p>
    <w:p>
      <w:pPr>
        <w:pStyle w:val="18"/>
        <w:numPr>
          <w:ilvl w:val="0"/>
          <w:numId w:val="7"/>
        </w:numPr>
        <w:tabs>
          <w:tab w:val="left" w:pos="1378"/>
        </w:tabs>
        <w:spacing w:line="360" w:lineRule="auto"/>
        <w:rPr>
          <w:sz w:val="21"/>
        </w:rPr>
      </w:pPr>
      <w:r>
        <w:rPr>
          <w:sz w:val="21"/>
        </w:rPr>
        <w:t>招标文件规定的评标程序、评标方法和评标因素；</w:t>
      </w:r>
    </w:p>
    <w:p>
      <w:pPr>
        <w:pStyle w:val="18"/>
        <w:numPr>
          <w:ilvl w:val="0"/>
          <w:numId w:val="7"/>
        </w:numPr>
        <w:tabs>
          <w:tab w:val="left" w:pos="1378"/>
        </w:tabs>
        <w:spacing w:line="360" w:lineRule="auto"/>
        <w:rPr>
          <w:sz w:val="21"/>
        </w:rPr>
      </w:pPr>
      <w:r>
        <w:rPr>
          <w:sz w:val="21"/>
        </w:rPr>
        <w:t>招标文件所列示的投标无效条款一览表；</w:t>
      </w:r>
    </w:p>
    <w:p>
      <w:pPr>
        <w:pStyle w:val="5"/>
        <w:numPr>
          <w:ilvl w:val="0"/>
          <w:numId w:val="4"/>
        </w:numPr>
        <w:tabs>
          <w:tab w:val="left" w:pos="863"/>
        </w:tabs>
        <w:spacing w:line="360" w:lineRule="auto"/>
        <w:ind w:left="862" w:hanging="422"/>
        <w:jc w:val="both"/>
      </w:pPr>
      <w:r>
        <w:t>独立评标</w:t>
      </w:r>
    </w:p>
    <w:p>
      <w:pPr>
        <w:pStyle w:val="18"/>
        <w:numPr>
          <w:ilvl w:val="1"/>
          <w:numId w:val="4"/>
        </w:numPr>
        <w:tabs>
          <w:tab w:val="left" w:pos="1324"/>
        </w:tabs>
        <w:spacing w:line="360" w:lineRule="auto"/>
        <w:ind w:right="810" w:firstLine="412"/>
        <w:rPr>
          <w:sz w:val="21"/>
        </w:rPr>
      </w:pPr>
      <w:r>
        <w:rPr>
          <w:sz w:val="21"/>
        </w:rPr>
        <w:t>评审委员会成员的评标活动应当独立进行，并应遵循投标文件初审、澄清有关问题、  比较与评价、确定候选中标人、编写评标报告的工作程序。</w:t>
      </w:r>
    </w:p>
    <w:p>
      <w:pPr>
        <w:pStyle w:val="5"/>
        <w:numPr>
          <w:ilvl w:val="0"/>
          <w:numId w:val="4"/>
        </w:numPr>
        <w:tabs>
          <w:tab w:val="left" w:pos="863"/>
        </w:tabs>
        <w:spacing w:before="1" w:line="360" w:lineRule="auto"/>
        <w:ind w:left="862" w:hanging="422"/>
      </w:pPr>
      <w:bookmarkStart w:id="35" w:name="第七章_评标程序及评标方法"/>
      <w:bookmarkEnd w:id="35"/>
      <w:r>
        <w:t>投标文件的初审</w:t>
      </w:r>
    </w:p>
    <w:p>
      <w:pPr>
        <w:pStyle w:val="5"/>
        <w:numPr>
          <w:ilvl w:val="1"/>
          <w:numId w:val="4"/>
        </w:numPr>
        <w:tabs>
          <w:tab w:val="left" w:pos="1326"/>
        </w:tabs>
        <w:spacing w:before="55" w:line="360" w:lineRule="auto"/>
        <w:ind w:right="750" w:firstLine="412"/>
        <w:jc w:val="both"/>
        <w:rPr>
          <w:b w:val="0"/>
          <w:bCs w:val="0"/>
        </w:rPr>
      </w:pPr>
      <w:r>
        <w:rPr>
          <w:b w:val="0"/>
          <w:bCs w:val="0"/>
        </w:rPr>
        <w:t>投标文件初审包括资格性检查和符合性检查。资格性检查：依据法律法规和招标文件</w:t>
      </w:r>
    </w:p>
    <w:p>
      <w:pPr>
        <w:pStyle w:val="5"/>
        <w:tabs>
          <w:tab w:val="left" w:pos="1326"/>
        </w:tabs>
        <w:spacing w:before="55" w:line="360" w:lineRule="auto"/>
        <w:ind w:left="440" w:right="750" w:firstLine="0"/>
        <w:jc w:val="both"/>
        <w:rPr>
          <w:b w:val="0"/>
          <w:bCs w:val="0"/>
        </w:rPr>
      </w:pPr>
      <w:r>
        <w:rPr>
          <w:b w:val="0"/>
          <w:bCs w:val="0"/>
        </w:rPr>
        <w:t>的规定，对投标文件中的资格证明、</w:t>
      </w:r>
      <w:r>
        <w:rPr>
          <w:rFonts w:hint="eastAsia"/>
          <w:b w:val="0"/>
          <w:bCs w:val="0"/>
        </w:rPr>
        <w:t>投标</w:t>
      </w:r>
      <w:r>
        <w:rPr>
          <w:b w:val="0"/>
          <w:bCs w:val="0"/>
        </w:rPr>
        <w:t>保证金等进行审查，以确定投标投标人是否具备投标资格。</w:t>
      </w:r>
    </w:p>
    <w:p>
      <w:pPr>
        <w:pStyle w:val="5"/>
        <w:numPr>
          <w:ilvl w:val="1"/>
          <w:numId w:val="4"/>
        </w:numPr>
        <w:tabs>
          <w:tab w:val="left" w:pos="1326"/>
        </w:tabs>
        <w:spacing w:before="55" w:line="360" w:lineRule="auto"/>
        <w:ind w:right="750" w:firstLine="412"/>
        <w:jc w:val="both"/>
        <w:rPr>
          <w:b w:val="0"/>
          <w:bCs w:val="0"/>
        </w:rPr>
      </w:pPr>
      <w:r>
        <w:rPr>
          <w:b w:val="0"/>
          <w:bCs w:val="0"/>
        </w:rPr>
        <w:t>资格性审查：依据法律法规和招标文件的规定，对投标文件进行审查，内容详见《招标文件信息》→《资格性审查表》。</w:t>
      </w:r>
    </w:p>
    <w:p>
      <w:pPr>
        <w:pStyle w:val="5"/>
        <w:numPr>
          <w:ilvl w:val="1"/>
          <w:numId w:val="4"/>
        </w:numPr>
        <w:tabs>
          <w:tab w:val="left" w:pos="1326"/>
        </w:tabs>
        <w:spacing w:before="55" w:line="360" w:lineRule="auto"/>
        <w:ind w:right="750" w:firstLine="412"/>
        <w:jc w:val="both"/>
        <w:rPr>
          <w:b w:val="0"/>
          <w:bCs w:val="0"/>
        </w:rPr>
      </w:pPr>
      <w:r>
        <w:rPr>
          <w:b w:val="0"/>
          <w:bCs w:val="0"/>
        </w:rPr>
        <w:t>符合性检查：依据招标文件的规定，从投标文件的有效性、完整性和对招标文件的响应程度进行审查，以确定是否对招标文件的实质性要求作出响应。内容详见 《招标文件信息》→《符合性审查表》。</w:t>
      </w:r>
    </w:p>
    <w:p>
      <w:pPr>
        <w:pStyle w:val="5"/>
        <w:numPr>
          <w:ilvl w:val="1"/>
          <w:numId w:val="4"/>
        </w:numPr>
        <w:tabs>
          <w:tab w:val="left" w:pos="1326"/>
        </w:tabs>
        <w:spacing w:before="55" w:line="360" w:lineRule="auto"/>
        <w:ind w:right="750" w:firstLine="412"/>
        <w:jc w:val="both"/>
        <w:rPr>
          <w:b w:val="0"/>
          <w:bCs w:val="0"/>
        </w:rPr>
      </w:pPr>
      <w:r>
        <w:rPr>
          <w:b w:val="0"/>
          <w:bCs w:val="0"/>
        </w:rPr>
        <w:t>对不属于投标文件初审表所列的其他情形，除法律法规另有规定外，不得作为投标无  效的理由。</w:t>
      </w:r>
    </w:p>
    <w:p>
      <w:pPr>
        <w:pStyle w:val="5"/>
        <w:numPr>
          <w:ilvl w:val="1"/>
          <w:numId w:val="4"/>
        </w:numPr>
        <w:tabs>
          <w:tab w:val="left" w:pos="1326"/>
        </w:tabs>
        <w:spacing w:before="55" w:line="360" w:lineRule="auto"/>
        <w:ind w:right="750" w:firstLine="412"/>
        <w:jc w:val="both"/>
        <w:rPr>
          <w:b w:val="0"/>
          <w:bCs w:val="0"/>
        </w:rPr>
      </w:pPr>
      <w:r>
        <w:rPr>
          <w:b w:val="0"/>
          <w:bCs w:val="0"/>
        </w:rPr>
        <w:t>对于投标文件中不构成实质性偏差的不正规、不一致或不规则，给评审带来不便，除  法律法规另有规定外，评标委员会可以接受。</w:t>
      </w:r>
    </w:p>
    <w:p>
      <w:pPr>
        <w:pStyle w:val="5"/>
        <w:numPr>
          <w:ilvl w:val="1"/>
          <w:numId w:val="4"/>
        </w:numPr>
        <w:tabs>
          <w:tab w:val="left" w:pos="1326"/>
        </w:tabs>
        <w:spacing w:before="55" w:line="360" w:lineRule="auto"/>
        <w:ind w:right="750" w:firstLine="412"/>
        <w:jc w:val="both"/>
        <w:rPr>
          <w:b w:val="0"/>
          <w:bCs w:val="0"/>
        </w:rPr>
      </w:pPr>
      <w:r>
        <w:rPr>
          <w:b w:val="0"/>
          <w:bCs w:val="0"/>
        </w:rPr>
        <w:t>投标文件初审表内容所有条款均为投标无效条款，对不属于投标无效条款所列的其它  情形，除法律法规另有规定外，不得作为投标无效的理由。投标人若有一条审查不通过，则投标文件无效，按投标无效处理。</w:t>
      </w:r>
    </w:p>
    <w:p>
      <w:pPr>
        <w:pStyle w:val="18"/>
        <w:numPr>
          <w:ilvl w:val="0"/>
          <w:numId w:val="4"/>
        </w:numPr>
        <w:tabs>
          <w:tab w:val="left" w:pos="863"/>
        </w:tabs>
        <w:spacing w:line="360" w:lineRule="auto"/>
        <w:ind w:left="862" w:hanging="422"/>
        <w:rPr>
          <w:b/>
          <w:sz w:val="21"/>
        </w:rPr>
      </w:pPr>
      <w:r>
        <w:rPr>
          <w:b/>
          <w:sz w:val="21"/>
        </w:rPr>
        <w:t>澄清有关问题</w:t>
      </w:r>
    </w:p>
    <w:p>
      <w:pPr>
        <w:pStyle w:val="9"/>
        <w:spacing w:line="360" w:lineRule="auto"/>
        <w:ind w:left="440" w:right="750" w:firstLine="412"/>
        <w:jc w:val="both"/>
      </w:pPr>
      <w:r>
        <w:t>为了有助于投标文件的审查、评价和比较，对投标文件含义不明确、同类问题表述不一致或者有明显文字和计算错误的内容，评审委员会可以用书面形式(应当由评审委员会签字)要求投标投标人作出必要的澄清、说明或者纠正。投标人的澄清、说明或者补正应当用采用书面形式（由其授权的代表签字），并不得超出投标文件的范围或者改变投标文件的实质性的内容。</w:t>
      </w:r>
      <w:r>
        <w:rPr>
          <w:spacing w:val="-8"/>
        </w:rPr>
        <w:t xml:space="preserve">根据通用条款第 </w:t>
      </w:r>
      <w:r>
        <w:rPr>
          <w:rFonts w:hint="eastAsia"/>
        </w:rPr>
        <w:t>27</w:t>
      </w:r>
      <w:r>
        <w:rPr>
          <w:spacing w:val="-8"/>
        </w:rPr>
        <w:t xml:space="preserve"> 条，凡属于评审委员会在评标中发现的算术错误进行核实的修改不在此列。</w:t>
      </w:r>
    </w:p>
    <w:p>
      <w:pPr>
        <w:pStyle w:val="5"/>
        <w:numPr>
          <w:ilvl w:val="0"/>
          <w:numId w:val="4"/>
        </w:numPr>
        <w:tabs>
          <w:tab w:val="left" w:pos="863"/>
        </w:tabs>
        <w:spacing w:line="360" w:lineRule="auto"/>
        <w:ind w:left="862" w:hanging="422"/>
      </w:pPr>
      <w:r>
        <w:t>错误的修正</w:t>
      </w:r>
    </w:p>
    <w:p>
      <w:pPr>
        <w:pStyle w:val="18"/>
        <w:numPr>
          <w:ilvl w:val="1"/>
          <w:numId w:val="4"/>
        </w:numPr>
        <w:tabs>
          <w:tab w:val="left" w:pos="1376"/>
        </w:tabs>
        <w:spacing w:line="360" w:lineRule="auto"/>
        <w:ind w:right="817" w:firstLine="412"/>
        <w:jc w:val="both"/>
        <w:rPr>
          <w:sz w:val="21"/>
        </w:rPr>
      </w:pPr>
      <w:r>
        <w:rPr>
          <w:spacing w:val="-3"/>
          <w:sz w:val="21"/>
        </w:rPr>
        <w:t>评审委员会将审查投标文件是否完整、总体编排是否有序、文件签署是否合格、投标  人是否提交了</w:t>
      </w:r>
      <w:r>
        <w:rPr>
          <w:rFonts w:hint="eastAsia"/>
          <w:spacing w:val="-3"/>
          <w:sz w:val="21"/>
        </w:rPr>
        <w:t>投标</w:t>
      </w:r>
      <w:r>
        <w:rPr>
          <w:spacing w:val="-3"/>
          <w:sz w:val="21"/>
        </w:rPr>
        <w:t>保证金、有无计算上的错误等。</w:t>
      </w:r>
    </w:p>
    <w:p>
      <w:pPr>
        <w:pStyle w:val="5"/>
        <w:numPr>
          <w:ilvl w:val="1"/>
          <w:numId w:val="4"/>
        </w:numPr>
        <w:tabs>
          <w:tab w:val="left" w:pos="1326"/>
        </w:tabs>
        <w:spacing w:before="55" w:line="360" w:lineRule="auto"/>
        <w:ind w:right="750" w:firstLine="412"/>
        <w:jc w:val="both"/>
        <w:rPr>
          <w:b w:val="0"/>
          <w:bCs w:val="0"/>
        </w:rPr>
      </w:pPr>
      <w:r>
        <w:rPr>
          <w:b w:val="0"/>
          <w:bCs w:val="0"/>
        </w:rPr>
        <w:t>算术错误将按以下方法更正（次序排先者优先）：</w:t>
      </w:r>
    </w:p>
    <w:p>
      <w:pPr>
        <w:pStyle w:val="5"/>
        <w:numPr>
          <w:ilvl w:val="1"/>
          <w:numId w:val="4"/>
        </w:numPr>
        <w:tabs>
          <w:tab w:val="left" w:pos="1326"/>
        </w:tabs>
        <w:spacing w:before="55" w:line="360" w:lineRule="auto"/>
        <w:ind w:right="750" w:firstLine="412"/>
        <w:jc w:val="both"/>
        <w:rPr>
          <w:b w:val="0"/>
          <w:bCs w:val="0"/>
        </w:rPr>
      </w:pPr>
      <w:r>
        <w:rPr>
          <w:b w:val="0"/>
          <w:bCs w:val="0"/>
        </w:rPr>
        <w:t>若开标一览表中投标总价与分项报价表中的总价不一致，以开标一览表投标总价为准；</w:t>
      </w:r>
    </w:p>
    <w:p>
      <w:pPr>
        <w:pStyle w:val="5"/>
        <w:numPr>
          <w:ilvl w:val="1"/>
          <w:numId w:val="4"/>
        </w:numPr>
        <w:tabs>
          <w:tab w:val="left" w:pos="1326"/>
        </w:tabs>
        <w:spacing w:before="55" w:line="360" w:lineRule="auto"/>
        <w:ind w:right="750" w:firstLine="412"/>
        <w:jc w:val="both"/>
        <w:rPr>
          <w:b w:val="0"/>
          <w:bCs w:val="0"/>
        </w:rPr>
      </w:pPr>
      <w:r>
        <w:rPr>
          <w:b w:val="0"/>
          <w:bCs w:val="0"/>
        </w:rPr>
        <w:t>若投标文件分项报价表中的报价与总价不一致，以总价为准；</w:t>
      </w:r>
    </w:p>
    <w:p>
      <w:pPr>
        <w:pStyle w:val="5"/>
        <w:numPr>
          <w:ilvl w:val="1"/>
          <w:numId w:val="4"/>
        </w:numPr>
        <w:tabs>
          <w:tab w:val="left" w:pos="1326"/>
        </w:tabs>
        <w:spacing w:before="55" w:line="360" w:lineRule="auto"/>
        <w:ind w:right="750" w:firstLine="412"/>
        <w:jc w:val="both"/>
        <w:rPr>
          <w:b w:val="0"/>
          <w:bCs w:val="0"/>
        </w:rPr>
      </w:pPr>
      <w:r>
        <w:rPr>
          <w:b w:val="0"/>
          <w:bCs w:val="0"/>
        </w:rPr>
        <w:t>若投标文件的大写金额和小写金额不一致的，以大写金额为准；</w:t>
      </w:r>
    </w:p>
    <w:p>
      <w:pPr>
        <w:pStyle w:val="5"/>
        <w:numPr>
          <w:ilvl w:val="1"/>
          <w:numId w:val="4"/>
        </w:numPr>
        <w:tabs>
          <w:tab w:val="left" w:pos="1326"/>
        </w:tabs>
        <w:spacing w:before="55" w:line="360" w:lineRule="auto"/>
        <w:ind w:right="750" w:firstLine="412"/>
        <w:jc w:val="both"/>
        <w:rPr>
          <w:b w:val="0"/>
          <w:bCs w:val="0"/>
        </w:rPr>
      </w:pPr>
      <w:r>
        <w:rPr>
          <w:b w:val="0"/>
          <w:bCs w:val="0"/>
        </w:rPr>
        <w:t>单价金额小数点有明显错位的，应以总价为准，并修改单价；</w:t>
      </w:r>
    </w:p>
    <w:p>
      <w:pPr>
        <w:pStyle w:val="5"/>
        <w:numPr>
          <w:ilvl w:val="1"/>
          <w:numId w:val="4"/>
        </w:numPr>
        <w:tabs>
          <w:tab w:val="left" w:pos="1326"/>
        </w:tabs>
        <w:spacing w:before="55" w:line="360" w:lineRule="auto"/>
        <w:ind w:right="750" w:firstLine="412"/>
        <w:jc w:val="both"/>
        <w:rPr>
          <w:b w:val="0"/>
          <w:bCs w:val="0"/>
        </w:rPr>
      </w:pPr>
      <w:r>
        <w:rPr>
          <w:b w:val="0"/>
          <w:bCs w:val="0"/>
        </w:rPr>
        <w:t>对不同文字文本投标文件的解释发生异议的，以中文文本为准。</w:t>
      </w:r>
    </w:p>
    <w:p>
      <w:pPr>
        <w:pStyle w:val="5"/>
        <w:numPr>
          <w:ilvl w:val="1"/>
          <w:numId w:val="4"/>
        </w:numPr>
        <w:tabs>
          <w:tab w:val="left" w:pos="1326"/>
        </w:tabs>
        <w:spacing w:before="55" w:line="360" w:lineRule="auto"/>
        <w:ind w:right="750" w:firstLine="412"/>
        <w:jc w:val="both"/>
        <w:rPr>
          <w:b w:val="0"/>
          <w:bCs w:val="0"/>
        </w:rPr>
      </w:pPr>
      <w:r>
        <w:rPr>
          <w:b w:val="0"/>
          <w:bCs w:val="0"/>
        </w:rPr>
        <w:t>对于投标文件中不构成实质性偏差的不正规、不一致或不规则，给评审带来不便，评  审委员会可以接受。</w:t>
      </w:r>
    </w:p>
    <w:p>
      <w:pPr>
        <w:pStyle w:val="5"/>
        <w:numPr>
          <w:ilvl w:val="1"/>
          <w:numId w:val="4"/>
        </w:numPr>
        <w:tabs>
          <w:tab w:val="left" w:pos="1326"/>
        </w:tabs>
        <w:spacing w:before="55" w:line="360" w:lineRule="auto"/>
        <w:ind w:right="750" w:firstLine="412"/>
        <w:jc w:val="both"/>
        <w:rPr>
          <w:b w:val="0"/>
          <w:bCs w:val="0"/>
        </w:rPr>
      </w:pPr>
      <w:r>
        <w:rPr>
          <w:b w:val="0"/>
          <w:bCs w:val="0"/>
        </w:rPr>
        <w:t>根据上述修正错误的原则及方法调整或修正投标文件的投标报价，投标人同意后，调整后的投标报价对投标人起约束作用。如果投标人不接受修正后的报价，则其投标将被拒绝并且其</w:t>
      </w:r>
      <w:r>
        <w:rPr>
          <w:rFonts w:hint="eastAsia"/>
          <w:b w:val="0"/>
          <w:bCs w:val="0"/>
        </w:rPr>
        <w:t>投标</w:t>
      </w:r>
      <w:r>
        <w:rPr>
          <w:b w:val="0"/>
          <w:bCs w:val="0"/>
        </w:rPr>
        <w:t>保证金也将</w:t>
      </w:r>
      <w:r>
        <w:rPr>
          <w:rFonts w:hint="eastAsia"/>
          <w:b w:val="0"/>
          <w:bCs w:val="0"/>
        </w:rPr>
        <w:t>不予退还</w:t>
      </w:r>
      <w:r>
        <w:rPr>
          <w:b w:val="0"/>
          <w:bCs w:val="0"/>
        </w:rPr>
        <w:t>，并不影响评标工作。</w:t>
      </w:r>
    </w:p>
    <w:p>
      <w:pPr>
        <w:pStyle w:val="5"/>
        <w:numPr>
          <w:ilvl w:val="0"/>
          <w:numId w:val="4"/>
        </w:numPr>
        <w:tabs>
          <w:tab w:val="left" w:pos="863"/>
        </w:tabs>
        <w:spacing w:line="360" w:lineRule="auto"/>
        <w:ind w:left="862" w:hanging="422"/>
      </w:pPr>
      <w:r>
        <w:t>投标文件的比较与评价</w:t>
      </w:r>
    </w:p>
    <w:p>
      <w:pPr>
        <w:pStyle w:val="9"/>
        <w:spacing w:line="360" w:lineRule="auto"/>
        <w:ind w:left="440" w:right="820" w:firstLine="412"/>
      </w:pPr>
      <w:r>
        <w:t>评审委员会将按照法律法规及规范性文件，仅对通过资格性审查和符合性审查的投标文件进行综合比较与评价。</w:t>
      </w:r>
    </w:p>
    <w:p>
      <w:pPr>
        <w:pStyle w:val="5"/>
        <w:numPr>
          <w:ilvl w:val="0"/>
          <w:numId w:val="4"/>
        </w:numPr>
        <w:tabs>
          <w:tab w:val="left" w:pos="863"/>
        </w:tabs>
        <w:spacing w:line="360" w:lineRule="auto"/>
        <w:ind w:left="862" w:hanging="422"/>
      </w:pPr>
      <w:r>
        <w:rPr>
          <w:w w:val="95"/>
        </w:rPr>
        <w:t>评标方法</w:t>
      </w:r>
    </w:p>
    <w:p>
      <w:pPr>
        <w:pStyle w:val="18"/>
        <w:numPr>
          <w:ilvl w:val="1"/>
          <w:numId w:val="4"/>
        </w:numPr>
        <w:tabs>
          <w:tab w:val="left" w:pos="1324"/>
        </w:tabs>
        <w:spacing w:line="360" w:lineRule="auto"/>
        <w:ind w:right="709" w:firstLine="412"/>
        <w:rPr>
          <w:sz w:val="21"/>
        </w:rPr>
      </w:pPr>
      <w:r>
        <w:rPr>
          <w:spacing w:val="-9"/>
          <w:sz w:val="21"/>
        </w:rPr>
        <w:t>根据《光明新区社区集体经济资金资产资源交易管理暂行办法》</w:t>
      </w:r>
      <w:r>
        <w:rPr>
          <w:sz w:val="21"/>
        </w:rPr>
        <w:t>（深光规</w:t>
      </w:r>
      <w:r>
        <w:rPr>
          <w:rFonts w:ascii="Calibri" w:eastAsia="Calibri"/>
          <w:sz w:val="21"/>
        </w:rPr>
        <w:t>{2018}15</w:t>
      </w:r>
      <w:r>
        <w:rPr>
          <w:rFonts w:ascii="Calibri" w:eastAsia="Calibri"/>
          <w:spacing w:val="-6"/>
          <w:sz w:val="21"/>
        </w:rPr>
        <w:t xml:space="preserve"> </w:t>
      </w:r>
      <w:r>
        <w:rPr>
          <w:sz w:val="21"/>
        </w:rPr>
        <w:t>号） 的有关要求，项目评标方法分为综合评分法、定性评审法及法律、法规允许的其它评标办法。</w:t>
      </w:r>
    </w:p>
    <w:p>
      <w:pPr>
        <w:pStyle w:val="5"/>
        <w:numPr>
          <w:ilvl w:val="2"/>
          <w:numId w:val="4"/>
        </w:numPr>
        <w:tabs>
          <w:tab w:val="left" w:pos="1540"/>
        </w:tabs>
        <w:spacing w:before="4" w:line="360" w:lineRule="auto"/>
        <w:ind w:left="1539" w:hanging="687"/>
      </w:pPr>
      <w:r>
        <w:t>综合评分法</w:t>
      </w:r>
    </w:p>
    <w:p>
      <w:pPr>
        <w:pStyle w:val="9"/>
        <w:spacing w:line="360" w:lineRule="auto"/>
        <w:ind w:left="440" w:right="820" w:firstLine="412"/>
        <w:jc w:val="both"/>
      </w:pPr>
      <w:r>
        <w:t>综合评分法是指在最大限度地满足招标文件实质性要求前提下，按照招标文件中规定的各项因素进行量化打分，以评标总得分排名前三的投标投标人作为候选中标人提供给招标人，最终由招标人综合考虑择优选取中标人的评标方法。</w:t>
      </w:r>
    </w:p>
    <w:p>
      <w:pPr>
        <w:pStyle w:val="5"/>
        <w:numPr>
          <w:ilvl w:val="2"/>
          <w:numId w:val="4"/>
        </w:numPr>
        <w:tabs>
          <w:tab w:val="left" w:pos="1540"/>
        </w:tabs>
        <w:spacing w:line="360" w:lineRule="auto"/>
        <w:ind w:left="1539" w:hanging="687"/>
      </w:pPr>
      <w:r>
        <w:t>定性评审法</w:t>
      </w:r>
    </w:p>
    <w:p>
      <w:pPr>
        <w:pStyle w:val="9"/>
        <w:spacing w:line="360" w:lineRule="auto"/>
        <w:ind w:left="440" w:right="714" w:firstLine="412"/>
      </w:pPr>
      <w:r>
        <w:t>定性评审法，是指按照招标文件规定的各项因素进行技术商务定性评审，对各投标文件是否满足招标文件实质性要求提出意见，并形成评审报告的评标方法。采用定性评审法</w:t>
      </w:r>
      <w:r>
        <w:rPr>
          <w:spacing w:val="-2"/>
        </w:rPr>
        <w:t>的，所有递交的投标文件未被判定为投标无效或者无效标的投标人，均推荐为候选中标人。</w:t>
      </w:r>
    </w:p>
    <w:p>
      <w:pPr>
        <w:pStyle w:val="5"/>
        <w:numPr>
          <w:ilvl w:val="1"/>
          <w:numId w:val="4"/>
        </w:numPr>
        <w:tabs>
          <w:tab w:val="left" w:pos="1326"/>
        </w:tabs>
        <w:spacing w:before="55" w:line="360" w:lineRule="auto"/>
        <w:ind w:right="750" w:firstLine="412"/>
        <w:jc w:val="both"/>
        <w:rPr>
          <w:b w:val="0"/>
          <w:bCs w:val="0"/>
        </w:rPr>
      </w:pPr>
      <w:r>
        <w:rPr>
          <w:b w:val="0"/>
          <w:bCs w:val="0"/>
        </w:rPr>
        <w:t>本项目采用的评标方法见本项目招标文件信息的相关内容。</w:t>
      </w:r>
    </w:p>
    <w:p>
      <w:pPr>
        <w:pStyle w:val="18"/>
        <w:numPr>
          <w:ilvl w:val="0"/>
          <w:numId w:val="4"/>
        </w:numPr>
        <w:tabs>
          <w:tab w:val="left" w:pos="863"/>
        </w:tabs>
        <w:spacing w:line="360" w:lineRule="auto"/>
        <w:ind w:left="862" w:hanging="422"/>
        <w:rPr>
          <w:b/>
          <w:sz w:val="21"/>
        </w:rPr>
      </w:pPr>
      <w:r>
        <w:rPr>
          <w:b/>
          <w:sz w:val="21"/>
        </w:rPr>
        <w:t>编写评标报告</w:t>
      </w:r>
    </w:p>
    <w:p>
      <w:pPr>
        <w:pStyle w:val="9"/>
        <w:spacing w:line="360" w:lineRule="auto"/>
        <w:ind w:left="440" w:right="820" w:firstLine="412"/>
        <w:jc w:val="both"/>
      </w:pPr>
      <w:r>
        <w:t>评标报告是评审委员会根据全体评标成员签字的原始评标记录和评标结果编写的报告，评标报告由评审委员会全体成员签字。对评标结论持有异议的评审委员会成员可以书面方式阐述其不同意见和理由。评审委员会成员拒绝在评标报告上签字且不陈述其不同意见和理由的，视为同意评标结论。评审委员会应当对此作出书面说明并记录在案。</w:t>
      </w:r>
    </w:p>
    <w:p>
      <w:pPr>
        <w:pStyle w:val="4"/>
        <w:tabs>
          <w:tab w:val="left" w:pos="962"/>
        </w:tabs>
        <w:spacing w:before="1" w:line="360" w:lineRule="auto"/>
        <w:ind w:left="0" w:right="375"/>
        <w:jc w:val="center"/>
        <w:rPr>
          <w:rFonts w:ascii="黑体" w:hAnsi="黑体" w:eastAsia="黑体"/>
          <w:sz w:val="36"/>
          <w:szCs w:val="36"/>
        </w:rPr>
      </w:pPr>
      <w:bookmarkStart w:id="36" w:name="第八章_定标及公示"/>
      <w:bookmarkEnd w:id="36"/>
      <w:r>
        <w:rPr>
          <w:rFonts w:ascii="黑体" w:hAnsi="黑体" w:eastAsia="黑体"/>
          <w:sz w:val="36"/>
          <w:szCs w:val="36"/>
        </w:rPr>
        <w:t>第</w:t>
      </w:r>
      <w:r>
        <w:rPr>
          <w:rFonts w:hint="eastAsia" w:ascii="黑体" w:hAnsi="黑体" w:eastAsia="黑体"/>
          <w:sz w:val="36"/>
          <w:szCs w:val="36"/>
        </w:rPr>
        <w:t>七</w:t>
      </w:r>
      <w:r>
        <w:rPr>
          <w:rFonts w:ascii="黑体" w:hAnsi="黑体" w:eastAsia="黑体"/>
          <w:sz w:val="36"/>
          <w:szCs w:val="36"/>
        </w:rPr>
        <w:t>章 定标</w:t>
      </w:r>
      <w:r>
        <w:rPr>
          <w:rFonts w:hint="eastAsia" w:ascii="黑体" w:hAnsi="黑体" w:eastAsia="黑体"/>
          <w:sz w:val="36"/>
          <w:szCs w:val="36"/>
        </w:rPr>
        <w:t>及公示</w:t>
      </w:r>
    </w:p>
    <w:p>
      <w:pPr>
        <w:pStyle w:val="5"/>
        <w:numPr>
          <w:ilvl w:val="0"/>
          <w:numId w:val="4"/>
        </w:numPr>
        <w:tabs>
          <w:tab w:val="left" w:pos="863"/>
        </w:tabs>
        <w:spacing w:before="70" w:line="360" w:lineRule="auto"/>
        <w:ind w:left="862" w:hanging="422"/>
      </w:pPr>
      <w:r>
        <w:t>定标方法</w:t>
      </w:r>
    </w:p>
    <w:p>
      <w:pPr>
        <w:pStyle w:val="18"/>
        <w:numPr>
          <w:ilvl w:val="1"/>
          <w:numId w:val="4"/>
        </w:numPr>
        <w:tabs>
          <w:tab w:val="left" w:pos="1324"/>
        </w:tabs>
        <w:spacing w:line="360" w:lineRule="auto"/>
        <w:ind w:right="820" w:firstLine="412"/>
        <w:jc w:val="both"/>
        <w:rPr>
          <w:spacing w:val="-5"/>
          <w:sz w:val="21"/>
        </w:rPr>
      </w:pPr>
      <w:r>
        <w:rPr>
          <w:spacing w:val="-5"/>
          <w:sz w:val="21"/>
        </w:rPr>
        <w:t>抽签法：是指候选中标人产生后，由社区股份公司随机抽签的方式在候选中标人中确  定中标人。</w:t>
      </w:r>
    </w:p>
    <w:p>
      <w:pPr>
        <w:pStyle w:val="18"/>
        <w:numPr>
          <w:ilvl w:val="1"/>
          <w:numId w:val="4"/>
        </w:numPr>
        <w:tabs>
          <w:tab w:val="left" w:pos="1324"/>
        </w:tabs>
        <w:spacing w:line="360" w:lineRule="auto"/>
        <w:ind w:right="820" w:firstLine="412"/>
        <w:jc w:val="both"/>
        <w:rPr>
          <w:spacing w:val="-5"/>
          <w:sz w:val="21"/>
        </w:rPr>
      </w:pPr>
      <w:r>
        <w:rPr>
          <w:spacing w:val="-5"/>
          <w:sz w:val="21"/>
        </w:rPr>
        <w:t>竞价法：是指候选中标人产生后，由社区股份公司组织候选中标人进行二次竞价，最  终报价最优的为中标人。</w:t>
      </w:r>
    </w:p>
    <w:p>
      <w:pPr>
        <w:pStyle w:val="18"/>
        <w:numPr>
          <w:ilvl w:val="1"/>
          <w:numId w:val="4"/>
        </w:numPr>
        <w:tabs>
          <w:tab w:val="left" w:pos="1324"/>
        </w:tabs>
        <w:spacing w:line="360" w:lineRule="auto"/>
        <w:ind w:right="820" w:firstLine="412"/>
        <w:jc w:val="both"/>
        <w:rPr>
          <w:sz w:val="21"/>
        </w:rPr>
      </w:pPr>
      <w:r>
        <w:rPr>
          <w:spacing w:val="-5"/>
          <w:sz w:val="21"/>
        </w:rPr>
        <w:t xml:space="preserve">自定法：是指社区股份公司组织定标委员会，由定标委员会在候选中标人范围内确定  中标人。定标委员会成员应当由 </w:t>
      </w:r>
      <w:r>
        <w:rPr>
          <w:sz w:val="21"/>
        </w:rPr>
        <w:t>5</w:t>
      </w:r>
      <w:r>
        <w:rPr>
          <w:spacing w:val="-7"/>
          <w:sz w:val="21"/>
        </w:rPr>
        <w:t xml:space="preserve"> 人以上单数组成，从社区股份公司未参与过评审的董事会、监事会、集体资产管理委员会及股东代表中产生，定标委员会人员名单应当经过社区股份公司股东大会（或股东代表大会）表决通过。</w:t>
      </w:r>
    </w:p>
    <w:p>
      <w:pPr>
        <w:pStyle w:val="5"/>
        <w:numPr>
          <w:ilvl w:val="0"/>
          <w:numId w:val="4"/>
        </w:numPr>
        <w:tabs>
          <w:tab w:val="left" w:pos="863"/>
        </w:tabs>
        <w:spacing w:line="360" w:lineRule="auto"/>
        <w:ind w:left="862" w:hanging="422"/>
      </w:pPr>
      <w:r>
        <w:rPr>
          <w:w w:val="95"/>
        </w:rPr>
        <w:t>中标结果公告</w:t>
      </w:r>
    </w:p>
    <w:p>
      <w:pPr>
        <w:pStyle w:val="18"/>
        <w:numPr>
          <w:ilvl w:val="1"/>
          <w:numId w:val="4"/>
        </w:numPr>
        <w:tabs>
          <w:tab w:val="left" w:pos="1324"/>
          <w:tab w:val="left" w:pos="1681"/>
        </w:tabs>
        <w:spacing w:line="360" w:lineRule="auto"/>
        <w:ind w:right="815" w:firstLine="412"/>
        <w:rPr>
          <w:sz w:val="21"/>
        </w:rPr>
      </w:pPr>
      <w:r>
        <w:rPr>
          <w:sz w:val="21"/>
        </w:rPr>
        <w:t>为体现“公开、公平、公正”的原则，招标人确认中标人后，将在“光明公共资源交  易平台”</w:t>
      </w:r>
      <w:r>
        <w:rPr>
          <w:sz w:val="21"/>
          <w:highlight w:val="yellow"/>
        </w:rPr>
        <w:t>上发布中标结果公告。为体现公开、公平、公正的原则，对中标结果</w:t>
      </w:r>
      <w:r>
        <w:rPr>
          <w:rFonts w:hint="eastAsia"/>
          <w:sz w:val="21"/>
          <w:highlight w:val="yellow"/>
        </w:rPr>
        <w:t>进行</w:t>
      </w:r>
      <w:r>
        <w:rPr>
          <w:sz w:val="21"/>
          <w:highlight w:val="yellow"/>
        </w:rPr>
        <w:t>公示</w:t>
      </w:r>
      <w:r>
        <w:rPr>
          <w:rFonts w:hint="eastAsia"/>
          <w:sz w:val="21"/>
          <w:highlight w:val="yellow"/>
        </w:rPr>
        <w:t>，对涉及社区集体物业租赁的公开招标项目进行公示3</w:t>
      </w:r>
      <w:r>
        <w:rPr>
          <w:highlight w:val="yellow"/>
        </w:rPr>
        <w:t>个工作日</w:t>
      </w:r>
      <w:r>
        <w:rPr>
          <w:rFonts w:hint="eastAsia"/>
          <w:highlight w:val="yellow"/>
        </w:rPr>
        <w:t>，对涉及社区集体小型建设工程、资产采购类、服务类的公开招标项目进行公示3日</w:t>
      </w:r>
      <w:r>
        <w:rPr>
          <w:highlight w:val="yellow"/>
        </w:rPr>
        <w:t>。</w:t>
      </w:r>
    </w:p>
    <w:p>
      <w:pPr>
        <w:pStyle w:val="18"/>
        <w:numPr>
          <w:ilvl w:val="1"/>
          <w:numId w:val="4"/>
        </w:numPr>
        <w:tabs>
          <w:tab w:val="left" w:pos="1324"/>
        </w:tabs>
        <w:spacing w:before="3" w:line="360" w:lineRule="auto"/>
        <w:ind w:left="1323" w:hanging="471"/>
        <w:rPr>
          <w:sz w:val="21"/>
        </w:rPr>
      </w:pPr>
      <w:r>
        <w:rPr>
          <w:sz w:val="21"/>
        </w:rPr>
        <w:t>质疑投诉人应保证质疑投诉内容的真实性和可靠性，并承担相应的法律责任。</w:t>
      </w:r>
    </w:p>
    <w:p>
      <w:pPr>
        <w:pStyle w:val="5"/>
        <w:numPr>
          <w:ilvl w:val="0"/>
          <w:numId w:val="4"/>
        </w:numPr>
        <w:tabs>
          <w:tab w:val="left" w:pos="863"/>
        </w:tabs>
        <w:spacing w:line="360" w:lineRule="auto"/>
        <w:ind w:left="862" w:hanging="422"/>
      </w:pPr>
      <w:r>
        <w:t>中标结果及中标通知书</w:t>
      </w:r>
    </w:p>
    <w:p>
      <w:pPr>
        <w:pStyle w:val="18"/>
        <w:numPr>
          <w:ilvl w:val="1"/>
          <w:numId w:val="4"/>
        </w:numPr>
        <w:tabs>
          <w:tab w:val="left" w:pos="1328"/>
        </w:tabs>
        <w:spacing w:line="360" w:lineRule="auto"/>
        <w:ind w:right="820" w:firstLine="412"/>
        <w:rPr>
          <w:sz w:val="21"/>
        </w:rPr>
      </w:pPr>
      <w:r>
        <w:rPr>
          <w:sz w:val="21"/>
        </w:rPr>
        <w:t>中标结果公告在公示期内无质疑投诉,招标人或招标代理机构将打印中标通知书，请中标投标人派代表凭授权委托书及本人身份证直接到招标代理机构领取《中标通知书》。</w:t>
      </w:r>
    </w:p>
    <w:p>
      <w:pPr>
        <w:pStyle w:val="18"/>
        <w:numPr>
          <w:ilvl w:val="1"/>
          <w:numId w:val="4"/>
        </w:numPr>
        <w:tabs>
          <w:tab w:val="left" w:pos="1324"/>
        </w:tabs>
        <w:spacing w:before="4" w:line="360" w:lineRule="auto"/>
        <w:ind w:left="1323" w:hanging="471"/>
        <w:rPr>
          <w:sz w:val="21"/>
        </w:rPr>
      </w:pPr>
      <w:r>
        <w:rPr>
          <w:sz w:val="21"/>
        </w:rPr>
        <w:t>中标人在领取《中标通知书》前需向招标代理机构足额缴纳招标代理服务费。</w:t>
      </w:r>
    </w:p>
    <w:p>
      <w:pPr>
        <w:pStyle w:val="18"/>
        <w:numPr>
          <w:ilvl w:val="1"/>
          <w:numId w:val="4"/>
        </w:numPr>
        <w:tabs>
          <w:tab w:val="left" w:pos="1324"/>
        </w:tabs>
        <w:spacing w:line="360" w:lineRule="auto"/>
        <w:ind w:left="1323" w:hanging="471"/>
        <w:rPr>
          <w:sz w:val="21"/>
        </w:rPr>
      </w:pPr>
      <w:r>
        <w:rPr>
          <w:sz w:val="21"/>
        </w:rPr>
        <w:t>中标通知书是合同的重要组成部分。</w:t>
      </w:r>
    </w:p>
    <w:p>
      <w:pPr>
        <w:pStyle w:val="18"/>
        <w:numPr>
          <w:ilvl w:val="1"/>
          <w:numId w:val="4"/>
        </w:numPr>
        <w:tabs>
          <w:tab w:val="left" w:pos="1316"/>
        </w:tabs>
        <w:spacing w:line="360" w:lineRule="auto"/>
        <w:ind w:left="1316" w:hanging="464"/>
        <w:rPr>
          <w:sz w:val="21"/>
        </w:rPr>
      </w:pPr>
      <w:r>
        <w:rPr>
          <w:spacing w:val="-5"/>
          <w:sz w:val="21"/>
        </w:rPr>
        <w:t>因质疑投诉或其它原因导致项目结果变更或</w:t>
      </w:r>
      <w:r>
        <w:rPr>
          <w:rFonts w:hint="eastAsia"/>
          <w:spacing w:val="-5"/>
          <w:sz w:val="21"/>
        </w:rPr>
        <w:t>招标</w:t>
      </w:r>
      <w:r>
        <w:rPr>
          <w:spacing w:val="-5"/>
          <w:sz w:val="21"/>
        </w:rPr>
        <w:t>终止的，招标人有权收回中标通知书。</w:t>
      </w:r>
    </w:p>
    <w:p>
      <w:pPr>
        <w:pStyle w:val="4"/>
        <w:tabs>
          <w:tab w:val="left" w:pos="962"/>
        </w:tabs>
        <w:spacing w:before="1" w:line="360" w:lineRule="auto"/>
        <w:ind w:left="0" w:right="375"/>
        <w:jc w:val="center"/>
        <w:rPr>
          <w:rFonts w:ascii="黑体" w:hAnsi="黑体" w:eastAsia="黑体"/>
          <w:sz w:val="36"/>
          <w:szCs w:val="36"/>
        </w:rPr>
      </w:pPr>
      <w:bookmarkStart w:id="37" w:name="第九章_质疑和投诉"/>
      <w:bookmarkEnd w:id="37"/>
      <w:r>
        <w:rPr>
          <w:rFonts w:ascii="黑体" w:hAnsi="黑体" w:eastAsia="黑体"/>
          <w:sz w:val="36"/>
          <w:szCs w:val="36"/>
        </w:rPr>
        <w:t>第</w:t>
      </w:r>
      <w:r>
        <w:rPr>
          <w:rFonts w:hint="eastAsia" w:ascii="黑体" w:hAnsi="黑体" w:eastAsia="黑体"/>
          <w:sz w:val="36"/>
          <w:szCs w:val="36"/>
        </w:rPr>
        <w:t>八</w:t>
      </w:r>
      <w:r>
        <w:rPr>
          <w:rFonts w:ascii="黑体" w:hAnsi="黑体" w:eastAsia="黑体"/>
          <w:sz w:val="36"/>
          <w:szCs w:val="36"/>
        </w:rPr>
        <w:t>章 质疑和投诉</w:t>
      </w:r>
    </w:p>
    <w:p>
      <w:pPr>
        <w:pStyle w:val="5"/>
        <w:numPr>
          <w:ilvl w:val="0"/>
          <w:numId w:val="4"/>
        </w:numPr>
        <w:tabs>
          <w:tab w:val="left" w:pos="863"/>
        </w:tabs>
        <w:spacing w:line="360" w:lineRule="auto"/>
        <w:ind w:left="862" w:hanging="422"/>
      </w:pPr>
      <w:r>
        <w:rPr>
          <w:rFonts w:hint="eastAsia"/>
        </w:rPr>
        <w:t>质疑</w:t>
      </w:r>
    </w:p>
    <w:p>
      <w:pPr>
        <w:pStyle w:val="18"/>
        <w:numPr>
          <w:ilvl w:val="1"/>
          <w:numId w:val="8"/>
        </w:numPr>
        <w:tabs>
          <w:tab w:val="left" w:pos="1333"/>
        </w:tabs>
        <w:spacing w:line="360" w:lineRule="auto"/>
        <w:ind w:right="908" w:firstLine="420"/>
        <w:jc w:val="left"/>
        <w:rPr>
          <w:spacing w:val="-4"/>
          <w:sz w:val="21"/>
        </w:rPr>
      </w:pPr>
      <w:r>
        <w:rPr>
          <w:spacing w:val="-4"/>
          <w:sz w:val="21"/>
        </w:rPr>
        <w:t>投标人对招标文件、招标过程、招标结果等有异议的,深圳市光明区公共资源交易中心以书面形式受理质疑。被质疑人应当自收到书面质疑材料之日起 10 个工作日就质疑事项书面答复质疑人。</w:t>
      </w:r>
    </w:p>
    <w:p>
      <w:pPr>
        <w:pStyle w:val="18"/>
        <w:numPr>
          <w:ilvl w:val="1"/>
          <w:numId w:val="8"/>
        </w:numPr>
        <w:tabs>
          <w:tab w:val="left" w:pos="1333"/>
        </w:tabs>
        <w:spacing w:line="360" w:lineRule="auto"/>
        <w:ind w:right="908" w:firstLine="420"/>
        <w:jc w:val="left"/>
        <w:rPr>
          <w:sz w:val="21"/>
        </w:rPr>
      </w:pPr>
      <w:r>
        <w:rPr>
          <w:spacing w:val="-4"/>
          <w:sz w:val="21"/>
        </w:rPr>
        <w:t>对被质疑人的答复不满意或者被质疑人未在规定时间内答复的,质疑人可以自收到答复之日或者答复期满之日起 15 日内向主管部门</w:t>
      </w:r>
      <w:r>
        <w:rPr>
          <w:spacing w:val="-8"/>
          <w:sz w:val="21"/>
        </w:rPr>
        <w:t>投诉。</w:t>
      </w:r>
    </w:p>
    <w:p>
      <w:pPr>
        <w:pStyle w:val="5"/>
        <w:numPr>
          <w:ilvl w:val="0"/>
          <w:numId w:val="4"/>
        </w:numPr>
        <w:tabs>
          <w:tab w:val="left" w:pos="863"/>
        </w:tabs>
        <w:spacing w:line="360" w:lineRule="auto"/>
        <w:ind w:left="862" w:hanging="422"/>
      </w:pPr>
      <w:r>
        <w:rPr>
          <w:rFonts w:hint="eastAsia"/>
        </w:rPr>
        <w:t>投诉</w:t>
      </w:r>
    </w:p>
    <w:p>
      <w:pPr>
        <w:pStyle w:val="18"/>
        <w:numPr>
          <w:ilvl w:val="0"/>
          <w:numId w:val="8"/>
        </w:numPr>
        <w:tabs>
          <w:tab w:val="left" w:pos="1328"/>
        </w:tabs>
        <w:spacing w:before="55" w:line="360" w:lineRule="auto"/>
        <w:ind w:right="715"/>
        <w:rPr>
          <w:vanish/>
          <w:spacing w:val="-6"/>
          <w:sz w:val="21"/>
        </w:rPr>
      </w:pPr>
    </w:p>
    <w:p>
      <w:pPr>
        <w:pStyle w:val="18"/>
        <w:numPr>
          <w:ilvl w:val="1"/>
          <w:numId w:val="8"/>
        </w:numPr>
        <w:tabs>
          <w:tab w:val="left" w:pos="1328"/>
        </w:tabs>
        <w:spacing w:before="55" w:line="360" w:lineRule="auto"/>
        <w:ind w:right="715" w:firstLine="420"/>
        <w:jc w:val="left"/>
        <w:rPr>
          <w:sz w:val="21"/>
        </w:rPr>
      </w:pPr>
      <w:r>
        <w:rPr>
          <w:sz w:val="21"/>
        </w:rPr>
        <w:t>主管部门应当自受理投诉后 20 个工作内作出书面处理决定并告知投诉人</w:t>
      </w:r>
      <w:r>
        <w:rPr>
          <w:rFonts w:hint="eastAsia"/>
          <w:sz w:val="21"/>
        </w:rPr>
        <w:t>；</w:t>
      </w:r>
      <w:r>
        <w:rPr>
          <w:sz w:val="21"/>
        </w:rPr>
        <w:t>情况复杂的, 经主管部门负责人批准可以延长 10 个工作日。</w:t>
      </w:r>
    </w:p>
    <w:p>
      <w:pPr>
        <w:pStyle w:val="18"/>
        <w:numPr>
          <w:ilvl w:val="1"/>
          <w:numId w:val="8"/>
        </w:numPr>
        <w:tabs>
          <w:tab w:val="left" w:pos="1328"/>
        </w:tabs>
        <w:spacing w:before="55" w:line="360" w:lineRule="auto"/>
        <w:ind w:right="715" w:firstLine="420"/>
        <w:jc w:val="left"/>
        <w:rPr>
          <w:sz w:val="21"/>
        </w:rPr>
      </w:pPr>
      <w:r>
        <w:rPr>
          <w:rFonts w:hint="eastAsia"/>
          <w:sz w:val="21"/>
        </w:rPr>
        <w:t>深圳市光明区公共资源交易中心质疑咨询电话：</w:t>
      </w:r>
      <w:r>
        <w:rPr>
          <w:rFonts w:hint="eastAsia"/>
          <w:sz w:val="21"/>
          <w:lang w:val="en-US"/>
        </w:rPr>
        <w:t>0755-88212184、88212460。</w:t>
      </w:r>
    </w:p>
    <w:p>
      <w:pPr>
        <w:pStyle w:val="4"/>
        <w:tabs>
          <w:tab w:val="left" w:pos="962"/>
        </w:tabs>
        <w:spacing w:before="1" w:line="360" w:lineRule="auto"/>
        <w:ind w:left="0" w:right="375"/>
        <w:jc w:val="center"/>
        <w:rPr>
          <w:rFonts w:ascii="黑体" w:hAnsi="黑体" w:eastAsia="黑体"/>
          <w:sz w:val="36"/>
          <w:szCs w:val="36"/>
        </w:rPr>
      </w:pPr>
      <w:bookmarkStart w:id="38" w:name="第十章_公开招标失败的后续处理"/>
      <w:bookmarkEnd w:id="38"/>
      <w:r>
        <w:rPr>
          <w:rFonts w:ascii="黑体" w:hAnsi="黑体" w:eastAsia="黑体"/>
          <w:sz w:val="36"/>
          <w:szCs w:val="36"/>
        </w:rPr>
        <w:t>第</w:t>
      </w:r>
      <w:r>
        <w:rPr>
          <w:rFonts w:hint="eastAsia" w:ascii="黑体" w:hAnsi="黑体" w:eastAsia="黑体"/>
          <w:sz w:val="36"/>
          <w:szCs w:val="36"/>
        </w:rPr>
        <w:t>九</w:t>
      </w:r>
      <w:r>
        <w:rPr>
          <w:rFonts w:ascii="黑体" w:hAnsi="黑体" w:eastAsia="黑体"/>
          <w:sz w:val="36"/>
          <w:szCs w:val="36"/>
        </w:rPr>
        <w:t>章 公开招标失败的后续处理</w:t>
      </w:r>
    </w:p>
    <w:p>
      <w:pPr>
        <w:pStyle w:val="5"/>
        <w:numPr>
          <w:ilvl w:val="0"/>
          <w:numId w:val="4"/>
        </w:numPr>
        <w:tabs>
          <w:tab w:val="left" w:pos="863"/>
        </w:tabs>
        <w:spacing w:line="360" w:lineRule="auto"/>
        <w:ind w:left="862" w:hanging="422"/>
      </w:pPr>
      <w:r>
        <w:t>公开招标失败的处理</w:t>
      </w:r>
    </w:p>
    <w:p>
      <w:pPr>
        <w:pStyle w:val="18"/>
        <w:numPr>
          <w:ilvl w:val="0"/>
          <w:numId w:val="9"/>
        </w:numPr>
        <w:tabs>
          <w:tab w:val="left" w:pos="1333"/>
        </w:tabs>
        <w:spacing w:line="360" w:lineRule="auto"/>
        <w:ind w:right="820"/>
        <w:jc w:val="both"/>
        <w:rPr>
          <w:vanish/>
          <w:spacing w:val="-1"/>
          <w:sz w:val="21"/>
        </w:rPr>
      </w:pPr>
    </w:p>
    <w:p>
      <w:pPr>
        <w:pStyle w:val="18"/>
        <w:numPr>
          <w:ilvl w:val="0"/>
          <w:numId w:val="9"/>
        </w:numPr>
        <w:tabs>
          <w:tab w:val="left" w:pos="1333"/>
        </w:tabs>
        <w:spacing w:line="360" w:lineRule="auto"/>
        <w:ind w:right="820"/>
        <w:jc w:val="both"/>
        <w:rPr>
          <w:vanish/>
          <w:spacing w:val="-1"/>
          <w:sz w:val="21"/>
        </w:rPr>
      </w:pPr>
    </w:p>
    <w:p>
      <w:pPr>
        <w:pStyle w:val="18"/>
        <w:numPr>
          <w:ilvl w:val="1"/>
          <w:numId w:val="9"/>
        </w:numPr>
        <w:tabs>
          <w:tab w:val="left" w:pos="1333"/>
        </w:tabs>
        <w:spacing w:line="360" w:lineRule="auto"/>
        <w:ind w:right="817" w:firstLine="412"/>
        <w:jc w:val="both"/>
        <w:rPr>
          <w:spacing w:val="-1"/>
          <w:sz w:val="21"/>
        </w:rPr>
      </w:pPr>
      <w:r>
        <w:rPr>
          <w:spacing w:val="-1"/>
          <w:sz w:val="21"/>
        </w:rPr>
        <w:t>本项目公开招标过程中若由于投标截止后实际递交投标文件的投标人数量不足、经评审委员会评审对招标文件作实质响应的投标人不足等原因造成公开招标失败，可由招标人重新组织招标。</w:t>
      </w:r>
    </w:p>
    <w:p>
      <w:pPr>
        <w:pStyle w:val="18"/>
        <w:numPr>
          <w:ilvl w:val="1"/>
          <w:numId w:val="9"/>
        </w:numPr>
        <w:tabs>
          <w:tab w:val="left" w:pos="1324"/>
        </w:tabs>
        <w:spacing w:line="360" w:lineRule="auto"/>
        <w:ind w:right="821" w:firstLine="412"/>
        <w:jc w:val="both"/>
        <w:rPr>
          <w:sz w:val="21"/>
        </w:rPr>
      </w:pPr>
      <w:r>
        <w:rPr>
          <w:spacing w:val="-1"/>
          <w:sz w:val="21"/>
        </w:rPr>
        <w:t>对公开招标失败的项目，评审委员会在出具该项目招标失败结论的同时，提出重新招标组织形式的建议，以及</w:t>
      </w:r>
      <w:r>
        <w:rPr>
          <w:rFonts w:hint="eastAsia"/>
          <w:spacing w:val="-1"/>
          <w:sz w:val="21"/>
        </w:rPr>
        <w:t>可</w:t>
      </w:r>
      <w:r>
        <w:rPr>
          <w:spacing w:val="-1"/>
          <w:sz w:val="21"/>
        </w:rPr>
        <w:t>进</w:t>
      </w:r>
      <w:r>
        <w:rPr>
          <w:spacing w:val="-2"/>
          <w:sz w:val="21"/>
        </w:rPr>
        <w:t>一步完善招标文件</w:t>
      </w:r>
      <w:r>
        <w:rPr>
          <w:sz w:val="21"/>
        </w:rPr>
        <w:t>的资格、技术、商务要求的修改建议。</w:t>
      </w:r>
    </w:p>
    <w:p>
      <w:pPr>
        <w:pStyle w:val="18"/>
        <w:numPr>
          <w:ilvl w:val="1"/>
          <w:numId w:val="9"/>
        </w:numPr>
        <w:tabs>
          <w:tab w:val="left" w:pos="1324"/>
        </w:tabs>
        <w:spacing w:line="360" w:lineRule="auto"/>
        <w:ind w:right="817" w:firstLine="412"/>
        <w:jc w:val="both"/>
        <w:rPr>
          <w:sz w:val="21"/>
        </w:rPr>
      </w:pPr>
      <w:r>
        <w:rPr>
          <w:spacing w:val="-1"/>
          <w:sz w:val="21"/>
        </w:rPr>
        <w:t>重新组织招标根据有关规定，因做出有效投标人不足三家而致公开招标失败的，应当重新组织公开招标。</w:t>
      </w:r>
      <w:r>
        <w:rPr>
          <w:spacing w:val="-4"/>
          <w:sz w:val="21"/>
        </w:rPr>
        <w:t xml:space="preserve">重新招标后，有效投标人仍不足 </w:t>
      </w:r>
      <w:r>
        <w:rPr>
          <w:sz w:val="21"/>
        </w:rPr>
        <w:t>3</w:t>
      </w:r>
      <w:r>
        <w:rPr>
          <w:spacing w:val="-7"/>
          <w:sz w:val="21"/>
        </w:rPr>
        <w:t xml:space="preserve"> 家的，经</w:t>
      </w:r>
      <w:r>
        <w:rPr>
          <w:rFonts w:hint="eastAsia"/>
          <w:spacing w:val="-7"/>
          <w:sz w:val="21"/>
        </w:rPr>
        <w:t>所属街道办</w:t>
      </w:r>
      <w:r>
        <w:rPr>
          <w:spacing w:val="-7"/>
          <w:sz w:val="21"/>
        </w:rPr>
        <w:t>批准，可转为竞争性谈判或者单一来源交易程序。</w:t>
      </w:r>
    </w:p>
    <w:p>
      <w:pPr>
        <w:pStyle w:val="4"/>
        <w:tabs>
          <w:tab w:val="left" w:pos="962"/>
        </w:tabs>
        <w:spacing w:before="1" w:line="360" w:lineRule="auto"/>
        <w:ind w:left="0" w:right="375"/>
        <w:jc w:val="center"/>
        <w:rPr>
          <w:rFonts w:ascii="黑体" w:hAnsi="黑体" w:eastAsia="黑体"/>
          <w:sz w:val="36"/>
          <w:szCs w:val="36"/>
        </w:rPr>
      </w:pPr>
      <w:bookmarkStart w:id="39" w:name="第十一章_合同的授予"/>
      <w:bookmarkEnd w:id="39"/>
      <w:r>
        <w:rPr>
          <w:rFonts w:ascii="黑体" w:hAnsi="黑体" w:eastAsia="黑体"/>
          <w:sz w:val="36"/>
          <w:szCs w:val="36"/>
        </w:rPr>
        <w:t>第十章 合同的授予</w:t>
      </w:r>
    </w:p>
    <w:p>
      <w:pPr>
        <w:pStyle w:val="5"/>
        <w:numPr>
          <w:ilvl w:val="0"/>
          <w:numId w:val="4"/>
        </w:numPr>
        <w:tabs>
          <w:tab w:val="left" w:pos="863"/>
        </w:tabs>
        <w:spacing w:line="360" w:lineRule="auto"/>
        <w:ind w:left="862" w:hanging="422"/>
      </w:pPr>
      <w:r>
        <w:t>合同授予标准</w:t>
      </w:r>
    </w:p>
    <w:p>
      <w:pPr>
        <w:pStyle w:val="9"/>
        <w:spacing w:line="360" w:lineRule="auto"/>
        <w:ind w:left="852"/>
      </w:pPr>
      <w:r>
        <w:t>本项目的合同将授予按本招标文件规定评审确定的中标人。</w:t>
      </w:r>
    </w:p>
    <w:p>
      <w:pPr>
        <w:pStyle w:val="5"/>
        <w:numPr>
          <w:ilvl w:val="0"/>
          <w:numId w:val="4"/>
        </w:numPr>
        <w:tabs>
          <w:tab w:val="left" w:pos="863"/>
        </w:tabs>
        <w:spacing w:line="360" w:lineRule="auto"/>
        <w:ind w:left="862" w:hanging="422"/>
      </w:pPr>
      <w:r>
        <w:t>接受和拒绝任何或所有投标的权力</w:t>
      </w:r>
    </w:p>
    <w:p>
      <w:pPr>
        <w:pStyle w:val="9"/>
        <w:spacing w:before="1" w:line="360" w:lineRule="auto"/>
        <w:ind w:left="440" w:right="820" w:firstLine="412"/>
        <w:jc w:val="both"/>
      </w:pPr>
      <w:r>
        <w:t>招标代理机构和招标人保留在投标之前任何时候接受或拒绝任何投标或所有投标，以及宣布招标无效的权力，对受影响的投标人不承担任何责任，也无义务向受影响的投标人解释采取这一行动的理由。</w:t>
      </w:r>
    </w:p>
    <w:p>
      <w:pPr>
        <w:pStyle w:val="5"/>
        <w:numPr>
          <w:ilvl w:val="0"/>
          <w:numId w:val="4"/>
        </w:numPr>
        <w:tabs>
          <w:tab w:val="left" w:pos="863"/>
        </w:tabs>
        <w:spacing w:line="360" w:lineRule="auto"/>
        <w:ind w:left="862" w:hanging="422"/>
      </w:pPr>
      <w:r>
        <w:t>合同协议书的签订</w:t>
      </w:r>
    </w:p>
    <w:p>
      <w:pPr>
        <w:pStyle w:val="18"/>
        <w:numPr>
          <w:ilvl w:val="0"/>
          <w:numId w:val="9"/>
        </w:numPr>
        <w:tabs>
          <w:tab w:val="left" w:pos="1328"/>
        </w:tabs>
        <w:spacing w:line="360" w:lineRule="auto"/>
        <w:ind w:right="821"/>
        <w:jc w:val="both"/>
        <w:rPr>
          <w:vanish/>
          <w:sz w:val="21"/>
          <w:szCs w:val="21"/>
        </w:rPr>
      </w:pPr>
    </w:p>
    <w:p>
      <w:pPr>
        <w:pStyle w:val="18"/>
        <w:numPr>
          <w:ilvl w:val="0"/>
          <w:numId w:val="9"/>
        </w:numPr>
        <w:tabs>
          <w:tab w:val="left" w:pos="1328"/>
        </w:tabs>
        <w:spacing w:line="360" w:lineRule="auto"/>
        <w:ind w:right="821"/>
        <w:jc w:val="both"/>
        <w:rPr>
          <w:vanish/>
          <w:sz w:val="21"/>
          <w:szCs w:val="21"/>
        </w:rPr>
      </w:pPr>
    </w:p>
    <w:p>
      <w:pPr>
        <w:pStyle w:val="18"/>
        <w:numPr>
          <w:ilvl w:val="0"/>
          <w:numId w:val="9"/>
        </w:numPr>
        <w:tabs>
          <w:tab w:val="left" w:pos="1328"/>
        </w:tabs>
        <w:spacing w:line="360" w:lineRule="auto"/>
        <w:ind w:right="821"/>
        <w:jc w:val="both"/>
        <w:rPr>
          <w:vanish/>
          <w:sz w:val="21"/>
          <w:szCs w:val="21"/>
        </w:rPr>
      </w:pPr>
    </w:p>
    <w:p>
      <w:pPr>
        <w:pStyle w:val="18"/>
        <w:numPr>
          <w:ilvl w:val="1"/>
          <w:numId w:val="9"/>
        </w:numPr>
        <w:tabs>
          <w:tab w:val="left" w:pos="1328"/>
        </w:tabs>
        <w:spacing w:line="360" w:lineRule="auto"/>
        <w:ind w:right="821" w:firstLine="412"/>
        <w:jc w:val="both"/>
        <w:rPr>
          <w:sz w:val="21"/>
          <w:szCs w:val="21"/>
        </w:rPr>
      </w:pPr>
      <w:r>
        <w:rPr>
          <w:sz w:val="21"/>
          <w:szCs w:val="21"/>
        </w:rPr>
        <w:t>中标人将于中标通知书发出之日起 30 日内按照项目文件（招标文件和投标文件）内容与招标人签订合同；合同的实质性内容应当符合</w:t>
      </w:r>
      <w:r>
        <w:rPr>
          <w:rFonts w:hint="eastAsia"/>
          <w:sz w:val="21"/>
          <w:szCs w:val="21"/>
        </w:rPr>
        <w:t>招标</w:t>
      </w:r>
      <w:r>
        <w:rPr>
          <w:sz w:val="21"/>
          <w:szCs w:val="21"/>
        </w:rPr>
        <w:t>文件（招标文件和投标文件）的规定；</w:t>
      </w:r>
    </w:p>
    <w:p>
      <w:pPr>
        <w:pStyle w:val="18"/>
        <w:numPr>
          <w:ilvl w:val="1"/>
          <w:numId w:val="9"/>
        </w:numPr>
        <w:tabs>
          <w:tab w:val="left" w:pos="1328"/>
        </w:tabs>
        <w:spacing w:line="360" w:lineRule="auto"/>
        <w:ind w:right="821" w:firstLine="412"/>
        <w:jc w:val="both"/>
        <w:rPr>
          <w:sz w:val="21"/>
          <w:szCs w:val="21"/>
        </w:rPr>
      </w:pPr>
      <w:r>
        <w:rPr>
          <w:sz w:val="21"/>
          <w:szCs w:val="21"/>
        </w:rPr>
        <w:t>中标人如不按规定与招标人签订合同，则招标人将有充分的理由取消其中标资格，并</w:t>
      </w:r>
      <w:r>
        <w:rPr>
          <w:rFonts w:hint="eastAsia"/>
          <w:spacing w:val="-7"/>
          <w:sz w:val="21"/>
        </w:rPr>
        <w:t>不予退还</w:t>
      </w:r>
      <w:r>
        <w:rPr>
          <w:rFonts w:hint="eastAsia"/>
          <w:sz w:val="21"/>
          <w:szCs w:val="21"/>
        </w:rPr>
        <w:t>投标</w:t>
      </w:r>
      <w:r>
        <w:rPr>
          <w:sz w:val="21"/>
          <w:szCs w:val="21"/>
        </w:rPr>
        <w:t>保证金，给社区股份公司造成的损失超过投标担保数额的，还应当对超过部分予以赔偿</w:t>
      </w:r>
      <w:r>
        <w:rPr>
          <w:rFonts w:hint="eastAsia"/>
          <w:sz w:val="21"/>
          <w:szCs w:val="21"/>
        </w:rPr>
        <w:t>，</w:t>
      </w:r>
      <w:r>
        <w:rPr>
          <w:sz w:val="21"/>
          <w:szCs w:val="21"/>
        </w:rPr>
        <w:t>同时承担相应法律责任；</w:t>
      </w:r>
    </w:p>
    <w:p>
      <w:pPr>
        <w:pStyle w:val="18"/>
        <w:numPr>
          <w:ilvl w:val="1"/>
          <w:numId w:val="9"/>
        </w:numPr>
        <w:tabs>
          <w:tab w:val="left" w:pos="1328"/>
        </w:tabs>
        <w:spacing w:line="360" w:lineRule="auto"/>
        <w:ind w:right="821" w:firstLine="412"/>
        <w:jc w:val="both"/>
        <w:rPr>
          <w:sz w:val="21"/>
          <w:szCs w:val="21"/>
        </w:rPr>
      </w:pPr>
      <w:r>
        <w:rPr>
          <w:sz w:val="21"/>
          <w:szCs w:val="21"/>
        </w:rPr>
        <w:t>中标人应当按照合同约定履行义务，完成中标项目，不得将中标项目转让（转包）给他人；</w:t>
      </w:r>
    </w:p>
    <w:p>
      <w:pPr>
        <w:pStyle w:val="18"/>
        <w:numPr>
          <w:ilvl w:val="1"/>
          <w:numId w:val="9"/>
        </w:numPr>
        <w:tabs>
          <w:tab w:val="left" w:pos="1324"/>
          <w:tab w:val="left" w:pos="9020"/>
        </w:tabs>
        <w:spacing w:line="360" w:lineRule="auto"/>
        <w:ind w:right="670" w:firstLine="412"/>
        <w:rPr>
          <w:sz w:val="21"/>
        </w:rPr>
      </w:pPr>
      <w:r>
        <w:rPr>
          <w:sz w:val="21"/>
        </w:rPr>
        <w:t>招标人与中标人签订的合同必须遵守本招标文件的合同条件，并且不得更改合同条件。</w:t>
      </w:r>
    </w:p>
    <w:p>
      <w:pPr>
        <w:pStyle w:val="5"/>
        <w:numPr>
          <w:ilvl w:val="0"/>
          <w:numId w:val="4"/>
        </w:numPr>
        <w:tabs>
          <w:tab w:val="left" w:pos="863"/>
        </w:tabs>
        <w:spacing w:line="360" w:lineRule="auto"/>
        <w:ind w:left="862" w:hanging="422"/>
      </w:pPr>
      <w:r>
        <w:t>履约担保</w:t>
      </w:r>
    </w:p>
    <w:p>
      <w:pPr>
        <w:pStyle w:val="18"/>
        <w:numPr>
          <w:ilvl w:val="0"/>
          <w:numId w:val="9"/>
        </w:numPr>
        <w:tabs>
          <w:tab w:val="left" w:pos="1324"/>
        </w:tabs>
        <w:spacing w:line="360" w:lineRule="auto"/>
        <w:ind w:right="817"/>
        <w:rPr>
          <w:vanish/>
          <w:sz w:val="21"/>
        </w:rPr>
      </w:pPr>
    </w:p>
    <w:p>
      <w:pPr>
        <w:pStyle w:val="18"/>
        <w:numPr>
          <w:ilvl w:val="1"/>
          <w:numId w:val="9"/>
        </w:numPr>
        <w:tabs>
          <w:tab w:val="left" w:pos="1324"/>
        </w:tabs>
        <w:spacing w:line="360" w:lineRule="auto"/>
        <w:ind w:right="820" w:firstLine="412"/>
        <w:jc w:val="both"/>
        <w:rPr>
          <w:sz w:val="21"/>
        </w:rPr>
      </w:pPr>
      <w:r>
        <w:rPr>
          <w:sz w:val="21"/>
        </w:rPr>
        <w:t>在签订项目合同的同时，中标人应按第一册第二章“投标人须知前附表”中规定的金额向招标人</w:t>
      </w:r>
      <w:r>
        <w:rPr>
          <w:rFonts w:hint="eastAsia"/>
          <w:sz w:val="21"/>
        </w:rPr>
        <w:t>缴纳租赁保证金</w:t>
      </w:r>
      <w:r>
        <w:rPr>
          <w:sz w:val="21"/>
        </w:rPr>
        <w:t>；</w:t>
      </w:r>
    </w:p>
    <w:p>
      <w:pPr>
        <w:pStyle w:val="18"/>
        <w:numPr>
          <w:ilvl w:val="1"/>
          <w:numId w:val="9"/>
        </w:numPr>
        <w:tabs>
          <w:tab w:val="left" w:pos="1324"/>
        </w:tabs>
        <w:spacing w:line="360" w:lineRule="auto"/>
        <w:ind w:right="820" w:firstLine="412"/>
        <w:jc w:val="both"/>
        <w:rPr>
          <w:sz w:val="21"/>
        </w:rPr>
      </w:pPr>
      <w:r>
        <w:rPr>
          <w:sz w:val="21"/>
        </w:rPr>
        <w:t>如果中标人不能按规定执行，招标方将有充分的理由通过集体资产交易监督管理部门废除中标，并</w:t>
      </w:r>
      <w:r>
        <w:rPr>
          <w:rFonts w:hint="eastAsia"/>
          <w:spacing w:val="-7"/>
          <w:sz w:val="21"/>
        </w:rPr>
        <w:t>不予退还</w:t>
      </w:r>
      <w:r>
        <w:rPr>
          <w:rFonts w:hint="eastAsia"/>
          <w:sz w:val="21"/>
        </w:rPr>
        <w:t>投标</w:t>
      </w:r>
      <w:r>
        <w:rPr>
          <w:sz w:val="21"/>
        </w:rPr>
        <w:t>保证金</w:t>
      </w:r>
      <w:r>
        <w:rPr>
          <w:spacing w:val="-1"/>
          <w:sz w:val="21"/>
        </w:rPr>
        <w:t>，给招标人造成的损失超过</w:t>
      </w:r>
      <w:r>
        <w:rPr>
          <w:rFonts w:hint="eastAsia"/>
          <w:spacing w:val="-1"/>
          <w:sz w:val="21"/>
        </w:rPr>
        <w:t>投标</w:t>
      </w:r>
      <w:r>
        <w:rPr>
          <w:spacing w:val="-1"/>
          <w:sz w:val="21"/>
        </w:rPr>
        <w:t>保证金数额的，还应当对超过部分予以赔偿；</w:t>
      </w:r>
    </w:p>
    <w:p>
      <w:pPr>
        <w:pStyle w:val="18"/>
        <w:numPr>
          <w:ilvl w:val="1"/>
          <w:numId w:val="9"/>
        </w:numPr>
        <w:tabs>
          <w:tab w:val="left" w:pos="1324"/>
        </w:tabs>
        <w:spacing w:line="360" w:lineRule="auto"/>
        <w:ind w:left="1323" w:hanging="471"/>
        <w:rPr>
          <w:sz w:val="21"/>
        </w:rPr>
      </w:pPr>
      <w:r>
        <w:rPr>
          <w:sz w:val="21"/>
        </w:rPr>
        <w:t>项目服务期满之后,经验收合格后，招标人在七日内办理解除履约担保手续。</w:t>
      </w:r>
    </w:p>
    <w:p>
      <w:pPr>
        <w:pStyle w:val="5"/>
        <w:numPr>
          <w:ilvl w:val="0"/>
          <w:numId w:val="4"/>
        </w:numPr>
        <w:tabs>
          <w:tab w:val="left" w:pos="863"/>
        </w:tabs>
        <w:spacing w:line="360" w:lineRule="auto"/>
        <w:ind w:left="862" w:hanging="422"/>
      </w:pPr>
      <w:r>
        <w:t>腐败和欺诈行为</w:t>
      </w:r>
    </w:p>
    <w:p>
      <w:pPr>
        <w:pStyle w:val="9"/>
        <w:spacing w:line="360" w:lineRule="auto"/>
        <w:ind w:left="440" w:right="820" w:firstLine="412"/>
      </w:pPr>
      <w:r>
        <w:t>社区集体资产交易要求合同项下的招标人和中标人在合同</w:t>
      </w:r>
      <w:r>
        <w:rPr>
          <w:rFonts w:hint="eastAsia"/>
        </w:rPr>
        <w:t>招标</w:t>
      </w:r>
      <w:r>
        <w:t>和实施过程中应遵守最高的道德标准。根据本要求，招标人将：</w:t>
      </w:r>
    </w:p>
    <w:p>
      <w:pPr>
        <w:pStyle w:val="18"/>
        <w:numPr>
          <w:ilvl w:val="0"/>
          <w:numId w:val="9"/>
        </w:numPr>
        <w:tabs>
          <w:tab w:val="left" w:pos="1324"/>
        </w:tabs>
        <w:spacing w:line="360" w:lineRule="auto"/>
        <w:rPr>
          <w:vanish/>
          <w:sz w:val="21"/>
        </w:rPr>
      </w:pPr>
    </w:p>
    <w:p>
      <w:pPr>
        <w:pStyle w:val="18"/>
        <w:numPr>
          <w:ilvl w:val="1"/>
          <w:numId w:val="9"/>
        </w:numPr>
        <w:tabs>
          <w:tab w:val="left" w:pos="1324"/>
        </w:tabs>
        <w:spacing w:line="360" w:lineRule="auto"/>
        <w:ind w:left="1325"/>
        <w:rPr>
          <w:sz w:val="21"/>
        </w:rPr>
      </w:pPr>
      <w:r>
        <w:rPr>
          <w:sz w:val="21"/>
        </w:rPr>
        <w:t>为此目的，定义下述条件：</w:t>
      </w:r>
    </w:p>
    <w:p>
      <w:pPr>
        <w:pStyle w:val="18"/>
        <w:numPr>
          <w:ilvl w:val="0"/>
          <w:numId w:val="10"/>
        </w:numPr>
        <w:tabs>
          <w:tab w:val="left" w:pos="1378"/>
        </w:tabs>
        <w:spacing w:line="360" w:lineRule="auto"/>
        <w:ind w:right="817" w:firstLine="412"/>
        <w:rPr>
          <w:sz w:val="21"/>
        </w:rPr>
      </w:pPr>
      <w:r>
        <w:rPr>
          <w:spacing w:val="-5"/>
          <w:sz w:val="21"/>
        </w:rPr>
        <w:t>“腐败行为”是指提供、给予、接受或索取任何有价值的东西来影响招标方或招标人在</w:t>
      </w:r>
      <w:r>
        <w:rPr>
          <w:rFonts w:hint="eastAsia"/>
          <w:spacing w:val="-5"/>
          <w:sz w:val="21"/>
        </w:rPr>
        <w:t>招标</w:t>
      </w:r>
      <w:r>
        <w:rPr>
          <w:spacing w:val="-5"/>
          <w:sz w:val="21"/>
        </w:rPr>
        <w:t>过程或合同实施过程中的行为；</w:t>
      </w:r>
    </w:p>
    <w:p>
      <w:pPr>
        <w:pStyle w:val="18"/>
        <w:numPr>
          <w:ilvl w:val="0"/>
          <w:numId w:val="10"/>
        </w:numPr>
        <w:tabs>
          <w:tab w:val="left" w:pos="1378"/>
        </w:tabs>
        <w:spacing w:before="4" w:line="360" w:lineRule="auto"/>
        <w:ind w:right="713" w:firstLine="412"/>
        <w:rPr>
          <w:spacing w:val="-4"/>
          <w:sz w:val="21"/>
        </w:rPr>
      </w:pPr>
      <w:r>
        <w:rPr>
          <w:spacing w:val="-4"/>
          <w:sz w:val="21"/>
        </w:rPr>
        <w:t>“欺诈行为”是指为了影响</w:t>
      </w:r>
      <w:r>
        <w:rPr>
          <w:rFonts w:hint="eastAsia"/>
          <w:spacing w:val="-4"/>
          <w:sz w:val="21"/>
        </w:rPr>
        <w:t>招标</w:t>
      </w:r>
      <w:r>
        <w:rPr>
          <w:spacing w:val="-4"/>
          <w:sz w:val="21"/>
        </w:rPr>
        <w:t>过程或合同实施过程而谎报事实，损害招标方或招标人的利益，包括投标人之间串通投标（递交投标文件之前和之后），人为地使投标丧失竞争性</w:t>
      </w:r>
      <w:r>
        <w:rPr>
          <w:rFonts w:hint="eastAsia"/>
          <w:spacing w:val="-4"/>
          <w:sz w:val="21"/>
        </w:rPr>
        <w:t>，</w:t>
      </w:r>
      <w:r>
        <w:rPr>
          <w:spacing w:val="-4"/>
          <w:sz w:val="21"/>
        </w:rPr>
        <w:t>剥夺招标方或招标人从自由公开竞争所能获得的权益。</w:t>
      </w:r>
    </w:p>
    <w:p>
      <w:pPr>
        <w:pStyle w:val="18"/>
        <w:numPr>
          <w:ilvl w:val="1"/>
          <w:numId w:val="9"/>
        </w:numPr>
        <w:tabs>
          <w:tab w:val="left" w:pos="1324"/>
        </w:tabs>
        <w:spacing w:line="360" w:lineRule="auto"/>
        <w:ind w:left="1325"/>
        <w:rPr>
          <w:sz w:val="21"/>
        </w:rPr>
      </w:pPr>
      <w:r>
        <w:rPr>
          <w:sz w:val="21"/>
        </w:rPr>
        <w:t>如果评审委员会认为投标人在本合同的竞争中有腐败和欺诈行为，则拒绝接受该投标。</w:t>
      </w:r>
    </w:p>
    <w:p>
      <w:pPr>
        <w:pStyle w:val="18"/>
        <w:numPr>
          <w:ilvl w:val="1"/>
          <w:numId w:val="9"/>
        </w:numPr>
        <w:tabs>
          <w:tab w:val="left" w:pos="1324"/>
        </w:tabs>
        <w:spacing w:line="360" w:lineRule="auto"/>
        <w:ind w:right="820" w:firstLine="412"/>
        <w:jc w:val="both"/>
        <w:rPr>
          <w:sz w:val="21"/>
        </w:rPr>
      </w:pPr>
      <w:r>
        <w:rPr>
          <w:sz w:val="21"/>
        </w:rPr>
        <w:t>如果投标人或中标人在集体资产交易合同的竞争和实施过程中有腐败和欺诈行为， 将依据《中华人民共和国合同法》、《光明新区社区集体经济资金资产资源交易管理暂行办法》（深光规{2018}15 号）有关法律法规进行处罚。</w:t>
      </w:r>
    </w:p>
    <w:p>
      <w:pPr>
        <w:pStyle w:val="4"/>
        <w:tabs>
          <w:tab w:val="left" w:pos="962"/>
        </w:tabs>
        <w:spacing w:before="1" w:line="360" w:lineRule="auto"/>
        <w:ind w:left="0" w:right="375"/>
        <w:jc w:val="center"/>
        <w:rPr>
          <w:rFonts w:ascii="黑体" w:hAnsi="黑体" w:eastAsia="黑体"/>
          <w:sz w:val="36"/>
          <w:szCs w:val="36"/>
        </w:rPr>
      </w:pPr>
      <w:bookmarkStart w:id="40" w:name="第十二章_特别说明"/>
      <w:bookmarkEnd w:id="40"/>
      <w:r>
        <w:rPr>
          <w:rFonts w:ascii="黑体" w:hAnsi="黑体" w:eastAsia="黑体"/>
          <w:sz w:val="36"/>
          <w:szCs w:val="36"/>
        </w:rPr>
        <w:t>第十</w:t>
      </w:r>
      <w:r>
        <w:rPr>
          <w:rFonts w:hint="eastAsia" w:ascii="黑体" w:hAnsi="黑体" w:eastAsia="黑体"/>
          <w:sz w:val="36"/>
          <w:szCs w:val="36"/>
        </w:rPr>
        <w:t>一</w:t>
      </w:r>
      <w:r>
        <w:rPr>
          <w:rFonts w:ascii="黑体" w:hAnsi="黑体" w:eastAsia="黑体"/>
          <w:sz w:val="36"/>
          <w:szCs w:val="36"/>
        </w:rPr>
        <w:t>章 特别说明</w:t>
      </w:r>
    </w:p>
    <w:p>
      <w:pPr>
        <w:pStyle w:val="5"/>
        <w:numPr>
          <w:ilvl w:val="0"/>
          <w:numId w:val="4"/>
        </w:numPr>
        <w:tabs>
          <w:tab w:val="left" w:pos="863"/>
        </w:tabs>
        <w:spacing w:line="360" w:lineRule="auto"/>
        <w:ind w:left="862" w:hanging="422"/>
        <w:rPr>
          <w:sz w:val="22"/>
        </w:rPr>
      </w:pPr>
      <w:r>
        <w:rPr>
          <w:rFonts w:hint="eastAsia"/>
          <w:spacing w:val="-1"/>
          <w:highlight w:val="yellow"/>
        </w:rPr>
        <w:t>特别说明</w:t>
      </w:r>
    </w:p>
    <w:p>
      <w:pPr>
        <w:pStyle w:val="18"/>
        <w:numPr>
          <w:ilvl w:val="0"/>
          <w:numId w:val="9"/>
        </w:numPr>
        <w:tabs>
          <w:tab w:val="left" w:pos="1324"/>
        </w:tabs>
        <w:spacing w:line="360" w:lineRule="auto"/>
        <w:ind w:right="820"/>
        <w:jc w:val="both"/>
        <w:rPr>
          <w:vanish/>
          <w:sz w:val="21"/>
        </w:rPr>
      </w:pPr>
    </w:p>
    <w:p>
      <w:pPr>
        <w:pStyle w:val="18"/>
        <w:numPr>
          <w:ilvl w:val="1"/>
          <w:numId w:val="9"/>
        </w:numPr>
        <w:tabs>
          <w:tab w:val="left" w:pos="1324"/>
        </w:tabs>
        <w:spacing w:line="360" w:lineRule="auto"/>
        <w:ind w:right="820" w:firstLine="412"/>
        <w:jc w:val="both"/>
        <w:rPr>
          <w:sz w:val="21"/>
        </w:rPr>
      </w:pPr>
      <w:r>
        <w:rPr>
          <w:sz w:val="21"/>
        </w:rPr>
        <w:t>深圳市光明区公共资源交易</w:t>
      </w:r>
      <w:r>
        <w:rPr>
          <w:rFonts w:hint="eastAsia"/>
          <w:sz w:val="21"/>
        </w:rPr>
        <w:t>中心提供光明区公共资源交易平台，作为</w:t>
      </w:r>
      <w:r>
        <w:rPr>
          <w:sz w:val="21"/>
        </w:rPr>
        <w:t>本项目的交易平台，仅负责发布本项目的招标信息、提供开评标场地设施，仅对招标所涉材料从招投标角度进行程序性核查，深圳市光明区公共资源交易中心不对项目标的合法性、</w:t>
      </w:r>
      <w:r>
        <w:rPr>
          <w:rFonts w:hint="eastAsia"/>
          <w:sz w:val="21"/>
        </w:rPr>
        <w:t>投标人</w:t>
      </w:r>
      <w:r>
        <w:rPr>
          <w:sz w:val="21"/>
        </w:rPr>
        <w:t>文件等的符合性进行审查，投标人应自行向招标人了解情况并自愿承担相应的法律风险。因本项目标的（含土地及物业）手续不齐全等原因造成中标人无法正常运营或使用的，由招标人和中标人自行沟通协商解决。</w:t>
      </w:r>
    </w:p>
    <w:p>
      <w:pPr>
        <w:pStyle w:val="18"/>
        <w:numPr>
          <w:ilvl w:val="1"/>
          <w:numId w:val="9"/>
        </w:numPr>
        <w:tabs>
          <w:tab w:val="left" w:pos="1324"/>
        </w:tabs>
        <w:spacing w:line="360" w:lineRule="auto"/>
        <w:ind w:right="820" w:firstLine="412"/>
        <w:jc w:val="both"/>
        <w:rPr>
          <w:sz w:val="21"/>
        </w:rPr>
      </w:pPr>
      <w:r>
        <w:rPr>
          <w:sz w:val="21"/>
        </w:rPr>
        <w:t>本项目拟采用公开招标的方式选择中标人，相关事宜适用《中华人民共和国招标投标法》及《中华人民共和国招标投标法实施条例》。相关质疑投诉程序依据 《光明新区社区集体经济资金资产资源交易管理暂行办法》（深光规{2018}15 号）执行</w:t>
      </w:r>
      <w:r>
        <w:rPr>
          <w:rFonts w:hint="eastAsia"/>
          <w:sz w:val="21"/>
        </w:rPr>
        <w:t>。</w:t>
      </w:r>
      <w:bookmarkStart w:id="41" w:name="第二册__专用条款"/>
      <w:bookmarkEnd w:id="41"/>
    </w:p>
    <w:sectPr>
      <w:footerReference r:id="rId3" w:type="default"/>
      <w:pgSz w:w="11910" w:h="16840"/>
      <w:pgMar w:top="1480" w:right="880" w:bottom="1020" w:left="1120" w:header="0" w:footer="82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Batang">
    <w:panose1 w:val="02030600000101010101"/>
    <w:charset w:val="81"/>
    <w:family w:val="roman"/>
    <w:pitch w:val="default"/>
    <w:sig w:usb0="B00002AF" w:usb1="69D77CFB" w:usb2="00000030" w:usb3="00000000" w:csb0="4008009F" w:csb1="DFD7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20"/>
      </w:rPr>
    </w:pPr>
    <w:r>
      <w:rPr>
        <w:lang w:val="en-US" w:bidi="ar-SA"/>
      </w:rPr>
      <w:pict>
        <v:shape id="文本框 11" o:spid="_x0000_s2049" o:spt="202" type="#_x0000_t202" style="position:absolute;left:0pt;margin-left:287.65pt;margin-top:800.15pt;height:12pt;width:13.1pt;mso-position-horizontal-relative:page;mso-position-vertical-relative:page;z-index:-251658240;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">
          <v:path/>
          <v:fill on="f" focussize="0,0"/>
          <v:stroke on="f" joinstyle="miter"/>
          <v:imagedata o:title=""/>
          <o:lock v:ext="edit"/>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8</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1"/>
      <w:numFmt w:val="lowerLetter"/>
      <w:lvlText w:val="（%1）"/>
      <w:lvlJc w:val="left"/>
      <w:pPr>
        <w:ind w:left="440" w:hanging="525"/>
      </w:pPr>
      <w:rPr>
        <w:rFonts w:hint="default" w:ascii="宋体" w:hAnsi="宋体" w:eastAsia="宋体" w:cs="宋体"/>
        <w:spacing w:val="-25"/>
        <w:w w:val="99"/>
        <w:sz w:val="19"/>
        <w:szCs w:val="19"/>
        <w:lang w:val="zh-CN" w:eastAsia="zh-CN" w:bidi="zh-CN"/>
      </w:rPr>
    </w:lvl>
    <w:lvl w:ilvl="1" w:tentative="0">
      <w:start w:val="0"/>
      <w:numFmt w:val="bullet"/>
      <w:lvlText w:val="•"/>
      <w:lvlJc w:val="left"/>
      <w:pPr>
        <w:ind w:left="1386" w:hanging="525"/>
      </w:pPr>
      <w:rPr>
        <w:rFonts w:hint="default"/>
        <w:lang w:val="zh-CN" w:eastAsia="zh-CN" w:bidi="zh-CN"/>
      </w:rPr>
    </w:lvl>
    <w:lvl w:ilvl="2" w:tentative="0">
      <w:start w:val="0"/>
      <w:numFmt w:val="bullet"/>
      <w:lvlText w:val="•"/>
      <w:lvlJc w:val="left"/>
      <w:pPr>
        <w:ind w:left="2333" w:hanging="525"/>
      </w:pPr>
      <w:rPr>
        <w:rFonts w:hint="default"/>
        <w:lang w:val="zh-CN" w:eastAsia="zh-CN" w:bidi="zh-CN"/>
      </w:rPr>
    </w:lvl>
    <w:lvl w:ilvl="3" w:tentative="0">
      <w:start w:val="0"/>
      <w:numFmt w:val="bullet"/>
      <w:lvlText w:val="•"/>
      <w:lvlJc w:val="left"/>
      <w:pPr>
        <w:ind w:left="3280" w:hanging="525"/>
      </w:pPr>
      <w:rPr>
        <w:rFonts w:hint="default"/>
        <w:lang w:val="zh-CN" w:eastAsia="zh-CN" w:bidi="zh-CN"/>
      </w:rPr>
    </w:lvl>
    <w:lvl w:ilvl="4" w:tentative="0">
      <w:start w:val="0"/>
      <w:numFmt w:val="bullet"/>
      <w:lvlText w:val="•"/>
      <w:lvlJc w:val="left"/>
      <w:pPr>
        <w:ind w:left="4226" w:hanging="525"/>
      </w:pPr>
      <w:rPr>
        <w:rFonts w:hint="default"/>
        <w:lang w:val="zh-CN" w:eastAsia="zh-CN" w:bidi="zh-CN"/>
      </w:rPr>
    </w:lvl>
    <w:lvl w:ilvl="5" w:tentative="0">
      <w:start w:val="0"/>
      <w:numFmt w:val="bullet"/>
      <w:lvlText w:val="•"/>
      <w:lvlJc w:val="left"/>
      <w:pPr>
        <w:ind w:left="5173" w:hanging="525"/>
      </w:pPr>
      <w:rPr>
        <w:rFonts w:hint="default"/>
        <w:lang w:val="zh-CN" w:eastAsia="zh-CN" w:bidi="zh-CN"/>
      </w:rPr>
    </w:lvl>
    <w:lvl w:ilvl="6" w:tentative="0">
      <w:start w:val="0"/>
      <w:numFmt w:val="bullet"/>
      <w:lvlText w:val="•"/>
      <w:lvlJc w:val="left"/>
      <w:pPr>
        <w:ind w:left="6120" w:hanging="525"/>
      </w:pPr>
      <w:rPr>
        <w:rFonts w:hint="default"/>
        <w:lang w:val="zh-CN" w:eastAsia="zh-CN" w:bidi="zh-CN"/>
      </w:rPr>
    </w:lvl>
    <w:lvl w:ilvl="7" w:tentative="0">
      <w:start w:val="0"/>
      <w:numFmt w:val="bullet"/>
      <w:lvlText w:val="•"/>
      <w:lvlJc w:val="left"/>
      <w:pPr>
        <w:ind w:left="7066" w:hanging="525"/>
      </w:pPr>
      <w:rPr>
        <w:rFonts w:hint="default"/>
        <w:lang w:val="zh-CN" w:eastAsia="zh-CN" w:bidi="zh-CN"/>
      </w:rPr>
    </w:lvl>
    <w:lvl w:ilvl="8" w:tentative="0">
      <w:start w:val="0"/>
      <w:numFmt w:val="bullet"/>
      <w:lvlText w:val="•"/>
      <w:lvlJc w:val="left"/>
      <w:pPr>
        <w:ind w:left="8013" w:hanging="525"/>
      </w:pPr>
      <w:rPr>
        <w:rFonts w:hint="default"/>
        <w:lang w:val="zh-CN" w:eastAsia="zh-CN" w:bidi="zh-CN"/>
      </w:rPr>
    </w:lvl>
  </w:abstractNum>
  <w:abstractNum w:abstractNumId="1">
    <w:nsid w:val="B5E306ED"/>
    <w:multiLevelType w:val="multilevel"/>
    <w:tmpl w:val="B5E306ED"/>
    <w:lvl w:ilvl="0" w:tentative="0">
      <w:start w:val="1"/>
      <w:numFmt w:val="decimal"/>
      <w:lvlText w:val="（%1）"/>
      <w:lvlJc w:val="left"/>
      <w:pPr>
        <w:ind w:left="1377" w:hanging="525"/>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2232" w:hanging="525"/>
      </w:pPr>
      <w:rPr>
        <w:rFonts w:hint="default"/>
        <w:lang w:val="zh-CN" w:eastAsia="zh-CN" w:bidi="zh-CN"/>
      </w:rPr>
    </w:lvl>
    <w:lvl w:ilvl="2" w:tentative="0">
      <w:start w:val="0"/>
      <w:numFmt w:val="bullet"/>
      <w:lvlText w:val="•"/>
      <w:lvlJc w:val="left"/>
      <w:pPr>
        <w:ind w:left="3085" w:hanging="525"/>
      </w:pPr>
      <w:rPr>
        <w:rFonts w:hint="default"/>
        <w:lang w:val="zh-CN" w:eastAsia="zh-CN" w:bidi="zh-CN"/>
      </w:rPr>
    </w:lvl>
    <w:lvl w:ilvl="3" w:tentative="0">
      <w:start w:val="0"/>
      <w:numFmt w:val="bullet"/>
      <w:lvlText w:val="•"/>
      <w:lvlJc w:val="left"/>
      <w:pPr>
        <w:ind w:left="3938" w:hanging="525"/>
      </w:pPr>
      <w:rPr>
        <w:rFonts w:hint="default"/>
        <w:lang w:val="zh-CN" w:eastAsia="zh-CN" w:bidi="zh-CN"/>
      </w:rPr>
    </w:lvl>
    <w:lvl w:ilvl="4" w:tentative="0">
      <w:start w:val="0"/>
      <w:numFmt w:val="bullet"/>
      <w:lvlText w:val="•"/>
      <w:lvlJc w:val="left"/>
      <w:pPr>
        <w:ind w:left="4790" w:hanging="525"/>
      </w:pPr>
      <w:rPr>
        <w:rFonts w:hint="default"/>
        <w:lang w:val="zh-CN" w:eastAsia="zh-CN" w:bidi="zh-CN"/>
      </w:rPr>
    </w:lvl>
    <w:lvl w:ilvl="5" w:tentative="0">
      <w:start w:val="0"/>
      <w:numFmt w:val="bullet"/>
      <w:lvlText w:val="•"/>
      <w:lvlJc w:val="left"/>
      <w:pPr>
        <w:ind w:left="5643" w:hanging="525"/>
      </w:pPr>
      <w:rPr>
        <w:rFonts w:hint="default"/>
        <w:lang w:val="zh-CN" w:eastAsia="zh-CN" w:bidi="zh-CN"/>
      </w:rPr>
    </w:lvl>
    <w:lvl w:ilvl="6" w:tentative="0">
      <w:start w:val="0"/>
      <w:numFmt w:val="bullet"/>
      <w:lvlText w:val="•"/>
      <w:lvlJc w:val="left"/>
      <w:pPr>
        <w:ind w:left="6496" w:hanging="525"/>
      </w:pPr>
      <w:rPr>
        <w:rFonts w:hint="default"/>
        <w:lang w:val="zh-CN" w:eastAsia="zh-CN" w:bidi="zh-CN"/>
      </w:rPr>
    </w:lvl>
    <w:lvl w:ilvl="7" w:tentative="0">
      <w:start w:val="0"/>
      <w:numFmt w:val="bullet"/>
      <w:lvlText w:val="•"/>
      <w:lvlJc w:val="left"/>
      <w:pPr>
        <w:ind w:left="7348" w:hanging="525"/>
      </w:pPr>
      <w:rPr>
        <w:rFonts w:hint="default"/>
        <w:lang w:val="zh-CN" w:eastAsia="zh-CN" w:bidi="zh-CN"/>
      </w:rPr>
    </w:lvl>
    <w:lvl w:ilvl="8" w:tentative="0">
      <w:start w:val="0"/>
      <w:numFmt w:val="bullet"/>
      <w:lvlText w:val="•"/>
      <w:lvlJc w:val="left"/>
      <w:pPr>
        <w:ind w:left="8201" w:hanging="525"/>
      </w:pPr>
      <w:rPr>
        <w:rFonts w:hint="default"/>
        <w:lang w:val="zh-CN" w:eastAsia="zh-CN" w:bidi="zh-CN"/>
      </w:rPr>
    </w:lvl>
  </w:abstractNum>
  <w:abstractNum w:abstractNumId="2">
    <w:nsid w:val="BF205925"/>
    <w:multiLevelType w:val="multilevel"/>
    <w:tmpl w:val="BF205925"/>
    <w:lvl w:ilvl="0" w:tentative="0">
      <w:start w:val="1"/>
      <w:numFmt w:val="decimal"/>
      <w:lvlText w:val="%1）"/>
      <w:lvlJc w:val="left"/>
      <w:pPr>
        <w:ind w:left="1166" w:hanging="314"/>
      </w:pPr>
      <w:rPr>
        <w:rFonts w:hint="default" w:ascii="宋体" w:hAnsi="宋体" w:eastAsia="宋体" w:cs="宋体"/>
        <w:spacing w:val="-2"/>
        <w:w w:val="99"/>
        <w:sz w:val="19"/>
        <w:szCs w:val="19"/>
        <w:lang w:val="zh-CN" w:eastAsia="zh-CN" w:bidi="zh-CN"/>
      </w:rPr>
    </w:lvl>
    <w:lvl w:ilvl="1" w:tentative="0">
      <w:start w:val="0"/>
      <w:numFmt w:val="bullet"/>
      <w:lvlText w:val="•"/>
      <w:lvlJc w:val="left"/>
      <w:pPr>
        <w:ind w:left="2034" w:hanging="314"/>
      </w:pPr>
      <w:rPr>
        <w:rFonts w:hint="default"/>
        <w:lang w:val="zh-CN" w:eastAsia="zh-CN" w:bidi="zh-CN"/>
      </w:rPr>
    </w:lvl>
    <w:lvl w:ilvl="2" w:tentative="0">
      <w:start w:val="0"/>
      <w:numFmt w:val="bullet"/>
      <w:lvlText w:val="•"/>
      <w:lvlJc w:val="left"/>
      <w:pPr>
        <w:ind w:left="2909" w:hanging="314"/>
      </w:pPr>
      <w:rPr>
        <w:rFonts w:hint="default"/>
        <w:lang w:val="zh-CN" w:eastAsia="zh-CN" w:bidi="zh-CN"/>
      </w:rPr>
    </w:lvl>
    <w:lvl w:ilvl="3" w:tentative="0">
      <w:start w:val="0"/>
      <w:numFmt w:val="bullet"/>
      <w:lvlText w:val="•"/>
      <w:lvlJc w:val="left"/>
      <w:pPr>
        <w:ind w:left="3784" w:hanging="314"/>
      </w:pPr>
      <w:rPr>
        <w:rFonts w:hint="default"/>
        <w:lang w:val="zh-CN" w:eastAsia="zh-CN" w:bidi="zh-CN"/>
      </w:rPr>
    </w:lvl>
    <w:lvl w:ilvl="4" w:tentative="0">
      <w:start w:val="0"/>
      <w:numFmt w:val="bullet"/>
      <w:lvlText w:val="•"/>
      <w:lvlJc w:val="left"/>
      <w:pPr>
        <w:ind w:left="4658" w:hanging="314"/>
      </w:pPr>
      <w:rPr>
        <w:rFonts w:hint="default"/>
        <w:lang w:val="zh-CN" w:eastAsia="zh-CN" w:bidi="zh-CN"/>
      </w:rPr>
    </w:lvl>
    <w:lvl w:ilvl="5" w:tentative="0">
      <w:start w:val="0"/>
      <w:numFmt w:val="bullet"/>
      <w:lvlText w:val="•"/>
      <w:lvlJc w:val="left"/>
      <w:pPr>
        <w:ind w:left="5533" w:hanging="314"/>
      </w:pPr>
      <w:rPr>
        <w:rFonts w:hint="default"/>
        <w:lang w:val="zh-CN" w:eastAsia="zh-CN" w:bidi="zh-CN"/>
      </w:rPr>
    </w:lvl>
    <w:lvl w:ilvl="6" w:tentative="0">
      <w:start w:val="0"/>
      <w:numFmt w:val="bullet"/>
      <w:lvlText w:val="•"/>
      <w:lvlJc w:val="left"/>
      <w:pPr>
        <w:ind w:left="6408" w:hanging="314"/>
      </w:pPr>
      <w:rPr>
        <w:rFonts w:hint="default"/>
        <w:lang w:val="zh-CN" w:eastAsia="zh-CN" w:bidi="zh-CN"/>
      </w:rPr>
    </w:lvl>
    <w:lvl w:ilvl="7" w:tentative="0">
      <w:start w:val="0"/>
      <w:numFmt w:val="bullet"/>
      <w:lvlText w:val="•"/>
      <w:lvlJc w:val="left"/>
      <w:pPr>
        <w:ind w:left="7282" w:hanging="314"/>
      </w:pPr>
      <w:rPr>
        <w:rFonts w:hint="default"/>
        <w:lang w:val="zh-CN" w:eastAsia="zh-CN" w:bidi="zh-CN"/>
      </w:rPr>
    </w:lvl>
    <w:lvl w:ilvl="8" w:tentative="0">
      <w:start w:val="0"/>
      <w:numFmt w:val="bullet"/>
      <w:lvlText w:val="•"/>
      <w:lvlJc w:val="left"/>
      <w:pPr>
        <w:ind w:left="8157" w:hanging="314"/>
      </w:pPr>
      <w:rPr>
        <w:rFonts w:hint="default"/>
        <w:lang w:val="zh-CN" w:eastAsia="zh-CN" w:bidi="zh-CN"/>
      </w:rPr>
    </w:lvl>
  </w:abstractNum>
  <w:abstractNum w:abstractNumId="3">
    <w:nsid w:val="CF092B84"/>
    <w:multiLevelType w:val="multilevel"/>
    <w:tmpl w:val="CF092B84"/>
    <w:lvl w:ilvl="0" w:tentative="0">
      <w:start w:val="1"/>
      <w:numFmt w:val="decimal"/>
      <w:lvlText w:val="%1."/>
      <w:lvlJc w:val="left"/>
      <w:pPr>
        <w:ind w:left="756" w:hanging="317"/>
      </w:pPr>
      <w:rPr>
        <w:rFonts w:hint="default" w:ascii="宋体" w:hAnsi="宋体" w:eastAsia="宋体" w:cs="宋体"/>
        <w:b/>
        <w:bCs/>
        <w:spacing w:val="1"/>
        <w:w w:val="98"/>
        <w:sz w:val="19"/>
        <w:szCs w:val="19"/>
        <w:lang w:val="zh-CN" w:eastAsia="zh-CN" w:bidi="zh-CN"/>
      </w:rPr>
    </w:lvl>
    <w:lvl w:ilvl="1" w:tentative="0">
      <w:start w:val="1"/>
      <w:numFmt w:val="decimal"/>
      <w:lvlText w:val="%1.%2"/>
      <w:lvlJc w:val="left"/>
      <w:pPr>
        <w:ind w:left="440" w:hanging="476"/>
      </w:pPr>
      <w:rPr>
        <w:rFonts w:hint="default"/>
        <w:spacing w:val="-2"/>
        <w:w w:val="99"/>
        <w:lang w:val="zh-CN" w:eastAsia="zh-CN" w:bidi="zh-CN"/>
      </w:rPr>
    </w:lvl>
    <w:lvl w:ilvl="2" w:tentative="0">
      <w:start w:val="1"/>
      <w:numFmt w:val="decimal"/>
      <w:lvlText w:val="%1.%2.%3"/>
      <w:lvlJc w:val="left"/>
      <w:pPr>
        <w:ind w:left="1337" w:hanging="476"/>
      </w:pPr>
      <w:rPr>
        <w:rFonts w:hint="default" w:ascii="Calibri" w:hAnsi="Calibri" w:eastAsia="Calibri" w:cs="Calibri"/>
        <w:spacing w:val="-1"/>
        <w:w w:val="99"/>
        <w:sz w:val="21"/>
        <w:szCs w:val="21"/>
        <w:lang w:val="zh-CN" w:eastAsia="zh-CN" w:bidi="zh-CN"/>
      </w:rPr>
    </w:lvl>
    <w:lvl w:ilvl="3" w:tentative="0">
      <w:start w:val="0"/>
      <w:numFmt w:val="bullet"/>
      <w:lvlText w:val="•"/>
      <w:lvlJc w:val="left"/>
      <w:pPr>
        <w:ind w:left="1160" w:hanging="476"/>
      </w:pPr>
      <w:rPr>
        <w:rFonts w:hint="default"/>
        <w:lang w:val="zh-CN" w:eastAsia="zh-CN" w:bidi="zh-CN"/>
      </w:rPr>
    </w:lvl>
    <w:lvl w:ilvl="4" w:tentative="0">
      <w:start w:val="0"/>
      <w:numFmt w:val="bullet"/>
      <w:lvlText w:val="•"/>
      <w:lvlJc w:val="left"/>
      <w:pPr>
        <w:ind w:left="1320" w:hanging="476"/>
      </w:pPr>
      <w:rPr>
        <w:rFonts w:hint="default"/>
        <w:lang w:val="zh-CN" w:eastAsia="zh-CN" w:bidi="zh-CN"/>
      </w:rPr>
    </w:lvl>
    <w:lvl w:ilvl="5" w:tentative="0">
      <w:start w:val="0"/>
      <w:numFmt w:val="bullet"/>
      <w:lvlText w:val="•"/>
      <w:lvlJc w:val="left"/>
      <w:pPr>
        <w:ind w:left="1340" w:hanging="476"/>
      </w:pPr>
      <w:rPr>
        <w:rFonts w:hint="default"/>
        <w:lang w:val="zh-CN" w:eastAsia="zh-CN" w:bidi="zh-CN"/>
      </w:rPr>
    </w:lvl>
    <w:lvl w:ilvl="6" w:tentative="0">
      <w:start w:val="0"/>
      <w:numFmt w:val="bullet"/>
      <w:lvlText w:val="•"/>
      <w:lvlJc w:val="left"/>
      <w:pPr>
        <w:ind w:left="1540" w:hanging="476"/>
      </w:pPr>
      <w:rPr>
        <w:rFonts w:hint="default"/>
        <w:lang w:val="zh-CN" w:eastAsia="zh-CN" w:bidi="zh-CN"/>
      </w:rPr>
    </w:lvl>
    <w:lvl w:ilvl="7" w:tentative="0">
      <w:start w:val="0"/>
      <w:numFmt w:val="bullet"/>
      <w:lvlText w:val="•"/>
      <w:lvlJc w:val="left"/>
      <w:pPr>
        <w:ind w:left="3631" w:hanging="476"/>
      </w:pPr>
      <w:rPr>
        <w:rFonts w:hint="default"/>
        <w:lang w:val="zh-CN" w:eastAsia="zh-CN" w:bidi="zh-CN"/>
      </w:rPr>
    </w:lvl>
    <w:lvl w:ilvl="8" w:tentative="0">
      <w:start w:val="0"/>
      <w:numFmt w:val="bullet"/>
      <w:lvlText w:val="•"/>
      <w:lvlJc w:val="left"/>
      <w:pPr>
        <w:ind w:left="5723" w:hanging="476"/>
      </w:pPr>
      <w:rPr>
        <w:rFonts w:hint="default"/>
        <w:lang w:val="zh-CN" w:eastAsia="zh-CN" w:bidi="zh-CN"/>
      </w:rPr>
    </w:lvl>
  </w:abstractNum>
  <w:abstractNum w:abstractNumId="4">
    <w:nsid w:val="25B654F3"/>
    <w:multiLevelType w:val="multilevel"/>
    <w:tmpl w:val="25B654F3"/>
    <w:lvl w:ilvl="0" w:tentative="0">
      <w:start w:val="34"/>
      <w:numFmt w:val="decimal"/>
      <w:lvlText w:val="%1"/>
      <w:lvlJc w:val="left"/>
      <w:pPr>
        <w:ind w:left="440" w:hanging="471"/>
      </w:pPr>
      <w:rPr>
        <w:rFonts w:hint="default"/>
        <w:lang w:val="zh-CN" w:eastAsia="zh-CN" w:bidi="zh-CN"/>
      </w:rPr>
    </w:lvl>
    <w:lvl w:ilvl="1" w:tentative="0">
      <w:start w:val="1"/>
      <w:numFmt w:val="decimal"/>
      <w:lvlText w:val="%1.%2"/>
      <w:lvlJc w:val="left"/>
      <w:pPr>
        <w:ind w:left="440" w:hanging="471"/>
        <w:jc w:val="right"/>
      </w:pPr>
      <w:rPr>
        <w:rFonts w:hint="default" w:ascii="宋体" w:hAnsi="宋体" w:eastAsia="宋体" w:cs="宋体"/>
        <w:spacing w:val="-2"/>
        <w:w w:val="99"/>
        <w:sz w:val="21"/>
        <w:szCs w:val="21"/>
        <w:lang w:val="zh-CN" w:eastAsia="zh-CN" w:bidi="zh-CN"/>
      </w:rPr>
    </w:lvl>
    <w:lvl w:ilvl="2" w:tentative="0">
      <w:start w:val="0"/>
      <w:numFmt w:val="bullet"/>
      <w:lvlText w:val="•"/>
      <w:lvlJc w:val="left"/>
      <w:pPr>
        <w:ind w:left="2333" w:hanging="471"/>
      </w:pPr>
      <w:rPr>
        <w:rFonts w:hint="default"/>
        <w:lang w:val="zh-CN" w:eastAsia="zh-CN" w:bidi="zh-CN"/>
      </w:rPr>
    </w:lvl>
    <w:lvl w:ilvl="3" w:tentative="0">
      <w:start w:val="0"/>
      <w:numFmt w:val="bullet"/>
      <w:lvlText w:val="•"/>
      <w:lvlJc w:val="left"/>
      <w:pPr>
        <w:ind w:left="3280" w:hanging="471"/>
      </w:pPr>
      <w:rPr>
        <w:rFonts w:hint="default"/>
        <w:lang w:val="zh-CN" w:eastAsia="zh-CN" w:bidi="zh-CN"/>
      </w:rPr>
    </w:lvl>
    <w:lvl w:ilvl="4" w:tentative="0">
      <w:start w:val="0"/>
      <w:numFmt w:val="bullet"/>
      <w:lvlText w:val="•"/>
      <w:lvlJc w:val="left"/>
      <w:pPr>
        <w:ind w:left="4226" w:hanging="471"/>
      </w:pPr>
      <w:rPr>
        <w:rFonts w:hint="default"/>
        <w:lang w:val="zh-CN" w:eastAsia="zh-CN" w:bidi="zh-CN"/>
      </w:rPr>
    </w:lvl>
    <w:lvl w:ilvl="5" w:tentative="0">
      <w:start w:val="0"/>
      <w:numFmt w:val="bullet"/>
      <w:lvlText w:val="•"/>
      <w:lvlJc w:val="left"/>
      <w:pPr>
        <w:ind w:left="5173" w:hanging="471"/>
      </w:pPr>
      <w:rPr>
        <w:rFonts w:hint="default"/>
        <w:lang w:val="zh-CN" w:eastAsia="zh-CN" w:bidi="zh-CN"/>
      </w:rPr>
    </w:lvl>
    <w:lvl w:ilvl="6" w:tentative="0">
      <w:start w:val="0"/>
      <w:numFmt w:val="bullet"/>
      <w:lvlText w:val="•"/>
      <w:lvlJc w:val="left"/>
      <w:pPr>
        <w:ind w:left="6120" w:hanging="471"/>
      </w:pPr>
      <w:rPr>
        <w:rFonts w:hint="default"/>
        <w:lang w:val="zh-CN" w:eastAsia="zh-CN" w:bidi="zh-CN"/>
      </w:rPr>
    </w:lvl>
    <w:lvl w:ilvl="7" w:tentative="0">
      <w:start w:val="0"/>
      <w:numFmt w:val="bullet"/>
      <w:lvlText w:val="•"/>
      <w:lvlJc w:val="left"/>
      <w:pPr>
        <w:ind w:left="7066" w:hanging="471"/>
      </w:pPr>
      <w:rPr>
        <w:rFonts w:hint="default"/>
        <w:lang w:val="zh-CN" w:eastAsia="zh-CN" w:bidi="zh-CN"/>
      </w:rPr>
    </w:lvl>
    <w:lvl w:ilvl="8" w:tentative="0">
      <w:start w:val="0"/>
      <w:numFmt w:val="bullet"/>
      <w:lvlText w:val="•"/>
      <w:lvlJc w:val="left"/>
      <w:pPr>
        <w:ind w:left="8013" w:hanging="471"/>
      </w:pPr>
      <w:rPr>
        <w:rFonts w:hint="default"/>
        <w:lang w:val="zh-CN" w:eastAsia="zh-CN" w:bidi="zh-CN"/>
      </w:rPr>
    </w:lvl>
  </w:abstractNum>
  <w:abstractNum w:abstractNumId="5">
    <w:nsid w:val="2DC64713"/>
    <w:multiLevelType w:val="multilevel"/>
    <w:tmpl w:val="2DC64713"/>
    <w:lvl w:ilvl="0" w:tentative="0">
      <w:start w:val="1"/>
      <w:numFmt w:val="decimal"/>
      <w:lvlText w:val="%1."/>
      <w:lvlJc w:val="left"/>
      <w:pPr>
        <w:ind w:left="255" w:hanging="25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5673A8E"/>
    <w:multiLevelType w:val="multilevel"/>
    <w:tmpl w:val="45673A8E"/>
    <w:lvl w:ilvl="0" w:tentative="0">
      <w:start w:val="1"/>
      <w:numFmt w:val="decimal"/>
      <w:lvlText w:val="%1）"/>
      <w:lvlJc w:val="left"/>
      <w:pPr>
        <w:ind w:left="1166" w:hanging="314"/>
      </w:pPr>
      <w:rPr>
        <w:rFonts w:hint="default" w:ascii="宋体" w:hAnsi="宋体" w:eastAsia="宋体" w:cs="宋体"/>
        <w:spacing w:val="-2"/>
        <w:w w:val="99"/>
        <w:sz w:val="19"/>
        <w:szCs w:val="19"/>
        <w:lang w:val="zh-CN" w:eastAsia="zh-CN" w:bidi="zh-CN"/>
      </w:rPr>
    </w:lvl>
    <w:lvl w:ilvl="1" w:tentative="0">
      <w:start w:val="0"/>
      <w:numFmt w:val="bullet"/>
      <w:lvlText w:val="•"/>
      <w:lvlJc w:val="left"/>
      <w:pPr>
        <w:ind w:left="2034" w:hanging="314"/>
      </w:pPr>
      <w:rPr>
        <w:rFonts w:hint="default"/>
        <w:lang w:val="zh-CN" w:eastAsia="zh-CN" w:bidi="zh-CN"/>
      </w:rPr>
    </w:lvl>
    <w:lvl w:ilvl="2" w:tentative="0">
      <w:start w:val="0"/>
      <w:numFmt w:val="bullet"/>
      <w:lvlText w:val="•"/>
      <w:lvlJc w:val="left"/>
      <w:pPr>
        <w:ind w:left="2909" w:hanging="314"/>
      </w:pPr>
      <w:rPr>
        <w:rFonts w:hint="default"/>
        <w:lang w:val="zh-CN" w:eastAsia="zh-CN" w:bidi="zh-CN"/>
      </w:rPr>
    </w:lvl>
    <w:lvl w:ilvl="3" w:tentative="0">
      <w:start w:val="0"/>
      <w:numFmt w:val="bullet"/>
      <w:lvlText w:val="•"/>
      <w:lvlJc w:val="left"/>
      <w:pPr>
        <w:ind w:left="3784" w:hanging="314"/>
      </w:pPr>
      <w:rPr>
        <w:rFonts w:hint="default"/>
        <w:lang w:val="zh-CN" w:eastAsia="zh-CN" w:bidi="zh-CN"/>
      </w:rPr>
    </w:lvl>
    <w:lvl w:ilvl="4" w:tentative="0">
      <w:start w:val="0"/>
      <w:numFmt w:val="bullet"/>
      <w:lvlText w:val="•"/>
      <w:lvlJc w:val="left"/>
      <w:pPr>
        <w:ind w:left="4658" w:hanging="314"/>
      </w:pPr>
      <w:rPr>
        <w:rFonts w:hint="default"/>
        <w:lang w:val="zh-CN" w:eastAsia="zh-CN" w:bidi="zh-CN"/>
      </w:rPr>
    </w:lvl>
    <w:lvl w:ilvl="5" w:tentative="0">
      <w:start w:val="0"/>
      <w:numFmt w:val="bullet"/>
      <w:lvlText w:val="•"/>
      <w:lvlJc w:val="left"/>
      <w:pPr>
        <w:ind w:left="5533" w:hanging="314"/>
      </w:pPr>
      <w:rPr>
        <w:rFonts w:hint="default"/>
        <w:lang w:val="zh-CN" w:eastAsia="zh-CN" w:bidi="zh-CN"/>
      </w:rPr>
    </w:lvl>
    <w:lvl w:ilvl="6" w:tentative="0">
      <w:start w:val="0"/>
      <w:numFmt w:val="bullet"/>
      <w:lvlText w:val="•"/>
      <w:lvlJc w:val="left"/>
      <w:pPr>
        <w:ind w:left="6408" w:hanging="314"/>
      </w:pPr>
      <w:rPr>
        <w:rFonts w:hint="default"/>
        <w:lang w:val="zh-CN" w:eastAsia="zh-CN" w:bidi="zh-CN"/>
      </w:rPr>
    </w:lvl>
    <w:lvl w:ilvl="7" w:tentative="0">
      <w:start w:val="0"/>
      <w:numFmt w:val="bullet"/>
      <w:lvlText w:val="•"/>
      <w:lvlJc w:val="left"/>
      <w:pPr>
        <w:ind w:left="7282" w:hanging="314"/>
      </w:pPr>
      <w:rPr>
        <w:rFonts w:hint="default"/>
        <w:lang w:val="zh-CN" w:eastAsia="zh-CN" w:bidi="zh-CN"/>
      </w:rPr>
    </w:lvl>
    <w:lvl w:ilvl="8" w:tentative="0">
      <w:start w:val="0"/>
      <w:numFmt w:val="bullet"/>
      <w:lvlText w:val="•"/>
      <w:lvlJc w:val="left"/>
      <w:pPr>
        <w:ind w:left="8157" w:hanging="314"/>
      </w:pPr>
      <w:rPr>
        <w:rFonts w:hint="default"/>
        <w:lang w:val="zh-CN" w:eastAsia="zh-CN" w:bidi="zh-CN"/>
      </w:rPr>
    </w:lvl>
  </w:abstractNum>
  <w:abstractNum w:abstractNumId="7">
    <w:nsid w:val="4BC872E6"/>
    <w:multiLevelType w:val="multilevel"/>
    <w:tmpl w:val="4BC872E6"/>
    <w:lvl w:ilvl="0" w:tentative="0">
      <w:start w:val="1"/>
      <w:numFmt w:val="decimal"/>
      <w:lvlText w:val="%1."/>
      <w:lvlJc w:val="left"/>
      <w:pPr>
        <w:ind w:left="842" w:hanging="420"/>
      </w:p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8">
    <w:nsid w:val="5A241D34"/>
    <w:multiLevelType w:val="multilevel"/>
    <w:tmpl w:val="5A241D34"/>
    <w:lvl w:ilvl="0" w:tentative="0">
      <w:start w:val="0"/>
      <w:numFmt w:val="bullet"/>
      <w:lvlText w:val=""/>
      <w:lvlJc w:val="left"/>
      <w:pPr>
        <w:ind w:left="1160" w:hanging="180"/>
      </w:pPr>
      <w:rPr>
        <w:rFonts w:hint="default" w:ascii="Wingdings" w:hAnsi="Wingdings" w:eastAsia="Wingdings" w:cs="Wingdings"/>
        <w:spacing w:val="23"/>
        <w:w w:val="99"/>
        <w:sz w:val="21"/>
        <w:szCs w:val="21"/>
        <w:lang w:val="zh-CN" w:eastAsia="zh-CN" w:bidi="zh-CN"/>
      </w:rPr>
    </w:lvl>
    <w:lvl w:ilvl="1" w:tentative="0">
      <w:start w:val="0"/>
      <w:numFmt w:val="bullet"/>
      <w:lvlText w:val="•"/>
      <w:lvlJc w:val="left"/>
      <w:pPr>
        <w:ind w:left="2034" w:hanging="180"/>
      </w:pPr>
      <w:rPr>
        <w:rFonts w:hint="default"/>
        <w:lang w:val="zh-CN" w:eastAsia="zh-CN" w:bidi="zh-CN"/>
      </w:rPr>
    </w:lvl>
    <w:lvl w:ilvl="2" w:tentative="0">
      <w:start w:val="0"/>
      <w:numFmt w:val="bullet"/>
      <w:lvlText w:val="•"/>
      <w:lvlJc w:val="left"/>
      <w:pPr>
        <w:ind w:left="2909" w:hanging="180"/>
      </w:pPr>
      <w:rPr>
        <w:rFonts w:hint="default"/>
        <w:lang w:val="zh-CN" w:eastAsia="zh-CN" w:bidi="zh-CN"/>
      </w:rPr>
    </w:lvl>
    <w:lvl w:ilvl="3" w:tentative="0">
      <w:start w:val="0"/>
      <w:numFmt w:val="bullet"/>
      <w:lvlText w:val="•"/>
      <w:lvlJc w:val="left"/>
      <w:pPr>
        <w:ind w:left="3784" w:hanging="180"/>
      </w:pPr>
      <w:rPr>
        <w:rFonts w:hint="default"/>
        <w:lang w:val="zh-CN" w:eastAsia="zh-CN" w:bidi="zh-CN"/>
      </w:rPr>
    </w:lvl>
    <w:lvl w:ilvl="4" w:tentative="0">
      <w:start w:val="0"/>
      <w:numFmt w:val="bullet"/>
      <w:lvlText w:val="•"/>
      <w:lvlJc w:val="left"/>
      <w:pPr>
        <w:ind w:left="4658" w:hanging="180"/>
      </w:pPr>
      <w:rPr>
        <w:rFonts w:hint="default"/>
        <w:lang w:val="zh-CN" w:eastAsia="zh-CN" w:bidi="zh-CN"/>
      </w:rPr>
    </w:lvl>
    <w:lvl w:ilvl="5" w:tentative="0">
      <w:start w:val="0"/>
      <w:numFmt w:val="bullet"/>
      <w:lvlText w:val="•"/>
      <w:lvlJc w:val="left"/>
      <w:pPr>
        <w:ind w:left="5533" w:hanging="180"/>
      </w:pPr>
      <w:rPr>
        <w:rFonts w:hint="default"/>
        <w:lang w:val="zh-CN" w:eastAsia="zh-CN" w:bidi="zh-CN"/>
      </w:rPr>
    </w:lvl>
    <w:lvl w:ilvl="6" w:tentative="0">
      <w:start w:val="0"/>
      <w:numFmt w:val="bullet"/>
      <w:lvlText w:val="•"/>
      <w:lvlJc w:val="left"/>
      <w:pPr>
        <w:ind w:left="6408" w:hanging="180"/>
      </w:pPr>
      <w:rPr>
        <w:rFonts w:hint="default"/>
        <w:lang w:val="zh-CN" w:eastAsia="zh-CN" w:bidi="zh-CN"/>
      </w:rPr>
    </w:lvl>
    <w:lvl w:ilvl="7" w:tentative="0">
      <w:start w:val="0"/>
      <w:numFmt w:val="bullet"/>
      <w:lvlText w:val="•"/>
      <w:lvlJc w:val="left"/>
      <w:pPr>
        <w:ind w:left="7282" w:hanging="180"/>
      </w:pPr>
      <w:rPr>
        <w:rFonts w:hint="default"/>
        <w:lang w:val="zh-CN" w:eastAsia="zh-CN" w:bidi="zh-CN"/>
      </w:rPr>
    </w:lvl>
    <w:lvl w:ilvl="8" w:tentative="0">
      <w:start w:val="0"/>
      <w:numFmt w:val="bullet"/>
      <w:lvlText w:val="•"/>
      <w:lvlJc w:val="left"/>
      <w:pPr>
        <w:ind w:left="8157" w:hanging="180"/>
      </w:pPr>
      <w:rPr>
        <w:rFonts w:hint="default"/>
        <w:lang w:val="zh-CN" w:eastAsia="zh-CN" w:bidi="zh-CN"/>
      </w:rPr>
    </w:lvl>
  </w:abstractNum>
  <w:abstractNum w:abstractNumId="9">
    <w:nsid w:val="72183CF9"/>
    <w:multiLevelType w:val="multilevel"/>
    <w:tmpl w:val="72183CF9"/>
    <w:lvl w:ilvl="0" w:tentative="0">
      <w:start w:val="35"/>
      <w:numFmt w:val="decimal"/>
      <w:lvlText w:val="%1."/>
      <w:lvlJc w:val="left"/>
      <w:pPr>
        <w:ind w:left="921" w:hanging="481"/>
      </w:pPr>
      <w:rPr>
        <w:rFonts w:hint="default" w:ascii="Microsoft JhengHei" w:hAnsi="Microsoft JhengHei" w:eastAsia="Microsoft JhengHei" w:cs="Microsoft JhengHei"/>
        <w:b/>
        <w:bCs/>
        <w:w w:val="83"/>
        <w:sz w:val="22"/>
        <w:szCs w:val="22"/>
        <w:lang w:val="zh-CN" w:eastAsia="zh-CN" w:bidi="zh-CN"/>
      </w:rPr>
    </w:lvl>
    <w:lvl w:ilvl="1" w:tentative="0">
      <w:start w:val="1"/>
      <w:numFmt w:val="decimal"/>
      <w:lvlText w:val="%1.%2"/>
      <w:lvlJc w:val="left"/>
      <w:pPr>
        <w:ind w:left="440" w:hanging="473"/>
      </w:pPr>
      <w:rPr>
        <w:rFonts w:hint="default" w:ascii="宋体" w:hAnsi="宋体" w:eastAsia="宋体" w:cs="宋体"/>
        <w:spacing w:val="-2"/>
        <w:w w:val="99"/>
        <w:sz w:val="21"/>
        <w:szCs w:val="21"/>
        <w:lang w:val="zh-CN" w:eastAsia="zh-CN" w:bidi="zh-CN"/>
      </w:rPr>
    </w:lvl>
    <w:lvl w:ilvl="2" w:tentative="0">
      <w:start w:val="0"/>
      <w:numFmt w:val="bullet"/>
      <w:lvlText w:val="•"/>
      <w:lvlJc w:val="left"/>
      <w:pPr>
        <w:ind w:left="1918" w:hanging="473"/>
      </w:pPr>
      <w:rPr>
        <w:rFonts w:hint="default"/>
        <w:lang w:val="zh-CN" w:eastAsia="zh-CN" w:bidi="zh-CN"/>
      </w:rPr>
    </w:lvl>
    <w:lvl w:ilvl="3" w:tentative="0">
      <w:start w:val="0"/>
      <w:numFmt w:val="bullet"/>
      <w:lvlText w:val="•"/>
      <w:lvlJc w:val="left"/>
      <w:pPr>
        <w:ind w:left="2917" w:hanging="473"/>
      </w:pPr>
      <w:rPr>
        <w:rFonts w:hint="default"/>
        <w:lang w:val="zh-CN" w:eastAsia="zh-CN" w:bidi="zh-CN"/>
      </w:rPr>
    </w:lvl>
    <w:lvl w:ilvl="4" w:tentative="0">
      <w:start w:val="0"/>
      <w:numFmt w:val="bullet"/>
      <w:lvlText w:val="•"/>
      <w:lvlJc w:val="left"/>
      <w:pPr>
        <w:ind w:left="3915" w:hanging="473"/>
      </w:pPr>
      <w:rPr>
        <w:rFonts w:hint="default"/>
        <w:lang w:val="zh-CN" w:eastAsia="zh-CN" w:bidi="zh-CN"/>
      </w:rPr>
    </w:lvl>
    <w:lvl w:ilvl="5" w:tentative="0">
      <w:start w:val="0"/>
      <w:numFmt w:val="bullet"/>
      <w:lvlText w:val="•"/>
      <w:lvlJc w:val="left"/>
      <w:pPr>
        <w:ind w:left="4914" w:hanging="473"/>
      </w:pPr>
      <w:rPr>
        <w:rFonts w:hint="default"/>
        <w:lang w:val="zh-CN" w:eastAsia="zh-CN" w:bidi="zh-CN"/>
      </w:rPr>
    </w:lvl>
    <w:lvl w:ilvl="6" w:tentative="0">
      <w:start w:val="0"/>
      <w:numFmt w:val="bullet"/>
      <w:lvlText w:val="•"/>
      <w:lvlJc w:val="left"/>
      <w:pPr>
        <w:ind w:left="5912" w:hanging="473"/>
      </w:pPr>
      <w:rPr>
        <w:rFonts w:hint="default"/>
        <w:lang w:val="zh-CN" w:eastAsia="zh-CN" w:bidi="zh-CN"/>
      </w:rPr>
    </w:lvl>
    <w:lvl w:ilvl="7" w:tentative="0">
      <w:start w:val="0"/>
      <w:numFmt w:val="bullet"/>
      <w:lvlText w:val="•"/>
      <w:lvlJc w:val="left"/>
      <w:pPr>
        <w:ind w:left="6911" w:hanging="473"/>
      </w:pPr>
      <w:rPr>
        <w:rFonts w:hint="default"/>
        <w:lang w:val="zh-CN" w:eastAsia="zh-CN" w:bidi="zh-CN"/>
      </w:rPr>
    </w:lvl>
    <w:lvl w:ilvl="8" w:tentative="0">
      <w:start w:val="0"/>
      <w:numFmt w:val="bullet"/>
      <w:lvlText w:val="•"/>
      <w:lvlJc w:val="left"/>
      <w:pPr>
        <w:ind w:left="7909" w:hanging="473"/>
      </w:pPr>
      <w:rPr>
        <w:rFonts w:hint="default"/>
        <w:lang w:val="zh-CN" w:eastAsia="zh-CN" w:bidi="zh-CN"/>
      </w:rPr>
    </w:lvl>
  </w:abstractNum>
  <w:num w:numId="1">
    <w:abstractNumId w:val="5"/>
  </w:num>
  <w:num w:numId="2">
    <w:abstractNumId w:val="8"/>
  </w:num>
  <w:num w:numId="3">
    <w:abstractNumId w:val="7"/>
  </w:num>
  <w:num w:numId="4">
    <w:abstractNumId w:val="3"/>
  </w:num>
  <w:num w:numId="5">
    <w:abstractNumId w:val="2"/>
  </w:num>
  <w:num w:numId="6">
    <w:abstractNumId w:val="6"/>
  </w:num>
  <w:num w:numId="7">
    <w:abstractNumId w:val="1"/>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2"/>
  </w:compat>
  <w:rsids>
    <w:rsidRoot w:val="00B30C66"/>
    <w:rsid w:val="00020BB8"/>
    <w:rsid w:val="00024E44"/>
    <w:rsid w:val="000314CD"/>
    <w:rsid w:val="00031DC5"/>
    <w:rsid w:val="00033B27"/>
    <w:rsid w:val="00044B4B"/>
    <w:rsid w:val="000469A5"/>
    <w:rsid w:val="00076CB0"/>
    <w:rsid w:val="00094E43"/>
    <w:rsid w:val="000A2E98"/>
    <w:rsid w:val="000A30F8"/>
    <w:rsid w:val="000B1BD3"/>
    <w:rsid w:val="000B7DB2"/>
    <w:rsid w:val="000C7341"/>
    <w:rsid w:val="000D5D6F"/>
    <w:rsid w:val="000E4EB7"/>
    <w:rsid w:val="0010074C"/>
    <w:rsid w:val="0010416F"/>
    <w:rsid w:val="00105274"/>
    <w:rsid w:val="001106DD"/>
    <w:rsid w:val="0011246A"/>
    <w:rsid w:val="00112906"/>
    <w:rsid w:val="00122FDF"/>
    <w:rsid w:val="00136A80"/>
    <w:rsid w:val="0014004A"/>
    <w:rsid w:val="00142DE3"/>
    <w:rsid w:val="00156D2A"/>
    <w:rsid w:val="0017000D"/>
    <w:rsid w:val="00185D90"/>
    <w:rsid w:val="001878D1"/>
    <w:rsid w:val="0019233A"/>
    <w:rsid w:val="001927D0"/>
    <w:rsid w:val="00193C17"/>
    <w:rsid w:val="001A4BAB"/>
    <w:rsid w:val="001A5231"/>
    <w:rsid w:val="001A6B6C"/>
    <w:rsid w:val="001A78C0"/>
    <w:rsid w:val="001D272C"/>
    <w:rsid w:val="001D438B"/>
    <w:rsid w:val="001E0365"/>
    <w:rsid w:val="00204427"/>
    <w:rsid w:val="002072BB"/>
    <w:rsid w:val="00212271"/>
    <w:rsid w:val="002176CB"/>
    <w:rsid w:val="00220E2C"/>
    <w:rsid w:val="0022201B"/>
    <w:rsid w:val="002236AD"/>
    <w:rsid w:val="00230533"/>
    <w:rsid w:val="002335DC"/>
    <w:rsid w:val="00240527"/>
    <w:rsid w:val="00242BC2"/>
    <w:rsid w:val="00242DDC"/>
    <w:rsid w:val="0024465D"/>
    <w:rsid w:val="00245F38"/>
    <w:rsid w:val="002469D5"/>
    <w:rsid w:val="00246D71"/>
    <w:rsid w:val="002505BD"/>
    <w:rsid w:val="0028477A"/>
    <w:rsid w:val="00284E40"/>
    <w:rsid w:val="00291572"/>
    <w:rsid w:val="002A62B1"/>
    <w:rsid w:val="002B036B"/>
    <w:rsid w:val="002B21F9"/>
    <w:rsid w:val="002B640D"/>
    <w:rsid w:val="002C4017"/>
    <w:rsid w:val="002E2127"/>
    <w:rsid w:val="002E3335"/>
    <w:rsid w:val="002F12BF"/>
    <w:rsid w:val="002F2E5C"/>
    <w:rsid w:val="002F4000"/>
    <w:rsid w:val="002F449A"/>
    <w:rsid w:val="002F5987"/>
    <w:rsid w:val="002F5C1E"/>
    <w:rsid w:val="002F7275"/>
    <w:rsid w:val="003015C2"/>
    <w:rsid w:val="00314AA4"/>
    <w:rsid w:val="0032329A"/>
    <w:rsid w:val="003245ED"/>
    <w:rsid w:val="003268C4"/>
    <w:rsid w:val="003272E6"/>
    <w:rsid w:val="00342EF5"/>
    <w:rsid w:val="003459CC"/>
    <w:rsid w:val="0034718D"/>
    <w:rsid w:val="0035046A"/>
    <w:rsid w:val="0035099B"/>
    <w:rsid w:val="00351DAA"/>
    <w:rsid w:val="00353B03"/>
    <w:rsid w:val="003548CE"/>
    <w:rsid w:val="003559A8"/>
    <w:rsid w:val="00363046"/>
    <w:rsid w:val="003654EE"/>
    <w:rsid w:val="003719DF"/>
    <w:rsid w:val="003803B5"/>
    <w:rsid w:val="00380BCA"/>
    <w:rsid w:val="0038206E"/>
    <w:rsid w:val="00390765"/>
    <w:rsid w:val="0039415A"/>
    <w:rsid w:val="0039522B"/>
    <w:rsid w:val="003A728F"/>
    <w:rsid w:val="003B4CF6"/>
    <w:rsid w:val="003B642D"/>
    <w:rsid w:val="003C48B1"/>
    <w:rsid w:val="003D5931"/>
    <w:rsid w:val="003F2E46"/>
    <w:rsid w:val="003F4961"/>
    <w:rsid w:val="003F6633"/>
    <w:rsid w:val="004024D5"/>
    <w:rsid w:val="0040616A"/>
    <w:rsid w:val="00410260"/>
    <w:rsid w:val="00417365"/>
    <w:rsid w:val="004414CF"/>
    <w:rsid w:val="00451661"/>
    <w:rsid w:val="00452465"/>
    <w:rsid w:val="0045388C"/>
    <w:rsid w:val="0046733D"/>
    <w:rsid w:val="00470CB9"/>
    <w:rsid w:val="004727AF"/>
    <w:rsid w:val="00485D37"/>
    <w:rsid w:val="00486097"/>
    <w:rsid w:val="00486A91"/>
    <w:rsid w:val="00496036"/>
    <w:rsid w:val="004A4686"/>
    <w:rsid w:val="004B077F"/>
    <w:rsid w:val="004B0CB1"/>
    <w:rsid w:val="004B0DC9"/>
    <w:rsid w:val="004C4D76"/>
    <w:rsid w:val="004C65B1"/>
    <w:rsid w:val="004D23A7"/>
    <w:rsid w:val="004D7BFB"/>
    <w:rsid w:val="004E117E"/>
    <w:rsid w:val="004E5E1A"/>
    <w:rsid w:val="004F1D8D"/>
    <w:rsid w:val="0050084F"/>
    <w:rsid w:val="00501837"/>
    <w:rsid w:val="00505BAE"/>
    <w:rsid w:val="00511359"/>
    <w:rsid w:val="00511CAA"/>
    <w:rsid w:val="00514578"/>
    <w:rsid w:val="00517DC1"/>
    <w:rsid w:val="00522D89"/>
    <w:rsid w:val="00524866"/>
    <w:rsid w:val="005274D3"/>
    <w:rsid w:val="00532BF2"/>
    <w:rsid w:val="0053508D"/>
    <w:rsid w:val="0054128D"/>
    <w:rsid w:val="005472E2"/>
    <w:rsid w:val="00557485"/>
    <w:rsid w:val="00560CAE"/>
    <w:rsid w:val="005663B3"/>
    <w:rsid w:val="00566AB5"/>
    <w:rsid w:val="00566D70"/>
    <w:rsid w:val="00566ED2"/>
    <w:rsid w:val="00571574"/>
    <w:rsid w:val="005744DA"/>
    <w:rsid w:val="00575047"/>
    <w:rsid w:val="005A3D71"/>
    <w:rsid w:val="005A4A54"/>
    <w:rsid w:val="005B2E19"/>
    <w:rsid w:val="005B62F8"/>
    <w:rsid w:val="005D0E42"/>
    <w:rsid w:val="005D18D1"/>
    <w:rsid w:val="005D1E1A"/>
    <w:rsid w:val="005D243A"/>
    <w:rsid w:val="005D6123"/>
    <w:rsid w:val="005E1298"/>
    <w:rsid w:val="005E71E0"/>
    <w:rsid w:val="005F06E9"/>
    <w:rsid w:val="005F5B60"/>
    <w:rsid w:val="005F6AD4"/>
    <w:rsid w:val="00602131"/>
    <w:rsid w:val="00602E02"/>
    <w:rsid w:val="00616A7B"/>
    <w:rsid w:val="00622504"/>
    <w:rsid w:val="00631643"/>
    <w:rsid w:val="00633204"/>
    <w:rsid w:val="006360EA"/>
    <w:rsid w:val="00644ED2"/>
    <w:rsid w:val="006466FF"/>
    <w:rsid w:val="00652042"/>
    <w:rsid w:val="006570B1"/>
    <w:rsid w:val="00664D3D"/>
    <w:rsid w:val="00665A10"/>
    <w:rsid w:val="00695ADC"/>
    <w:rsid w:val="00696324"/>
    <w:rsid w:val="006B4BF7"/>
    <w:rsid w:val="006B511B"/>
    <w:rsid w:val="006C2C0F"/>
    <w:rsid w:val="006C3735"/>
    <w:rsid w:val="006E2F53"/>
    <w:rsid w:val="006F282C"/>
    <w:rsid w:val="006F38AB"/>
    <w:rsid w:val="006F4250"/>
    <w:rsid w:val="006F49B3"/>
    <w:rsid w:val="00700511"/>
    <w:rsid w:val="00703EDF"/>
    <w:rsid w:val="007054A0"/>
    <w:rsid w:val="00710FD9"/>
    <w:rsid w:val="0071108E"/>
    <w:rsid w:val="00715E62"/>
    <w:rsid w:val="00717CDC"/>
    <w:rsid w:val="007260D2"/>
    <w:rsid w:val="00727AA1"/>
    <w:rsid w:val="007342E9"/>
    <w:rsid w:val="00734681"/>
    <w:rsid w:val="00734931"/>
    <w:rsid w:val="007367C5"/>
    <w:rsid w:val="007457B1"/>
    <w:rsid w:val="0075692B"/>
    <w:rsid w:val="0075720A"/>
    <w:rsid w:val="007578B2"/>
    <w:rsid w:val="007734B4"/>
    <w:rsid w:val="00775CEA"/>
    <w:rsid w:val="00783CBA"/>
    <w:rsid w:val="007A1896"/>
    <w:rsid w:val="007B3BF8"/>
    <w:rsid w:val="007B48F5"/>
    <w:rsid w:val="007C0284"/>
    <w:rsid w:val="007C1A0E"/>
    <w:rsid w:val="007C25A5"/>
    <w:rsid w:val="007C537D"/>
    <w:rsid w:val="007C63E9"/>
    <w:rsid w:val="007D1143"/>
    <w:rsid w:val="007D41BE"/>
    <w:rsid w:val="007E3ED3"/>
    <w:rsid w:val="007F434F"/>
    <w:rsid w:val="00841826"/>
    <w:rsid w:val="00841A91"/>
    <w:rsid w:val="00847A93"/>
    <w:rsid w:val="00853DBA"/>
    <w:rsid w:val="0085496F"/>
    <w:rsid w:val="0087070D"/>
    <w:rsid w:val="0088011D"/>
    <w:rsid w:val="008932DD"/>
    <w:rsid w:val="008A0FA8"/>
    <w:rsid w:val="008B4BB1"/>
    <w:rsid w:val="008D00D6"/>
    <w:rsid w:val="008D1B4C"/>
    <w:rsid w:val="008D3AC2"/>
    <w:rsid w:val="008E79A5"/>
    <w:rsid w:val="008F4F33"/>
    <w:rsid w:val="008F6F7D"/>
    <w:rsid w:val="008F7D27"/>
    <w:rsid w:val="009054F9"/>
    <w:rsid w:val="00907639"/>
    <w:rsid w:val="00911CC5"/>
    <w:rsid w:val="0091361E"/>
    <w:rsid w:val="00916B39"/>
    <w:rsid w:val="009204FA"/>
    <w:rsid w:val="00933D0C"/>
    <w:rsid w:val="0094135E"/>
    <w:rsid w:val="00952283"/>
    <w:rsid w:val="00952F8D"/>
    <w:rsid w:val="00961F1F"/>
    <w:rsid w:val="0096730F"/>
    <w:rsid w:val="0098632D"/>
    <w:rsid w:val="0099395F"/>
    <w:rsid w:val="00994687"/>
    <w:rsid w:val="009A2746"/>
    <w:rsid w:val="009D3C31"/>
    <w:rsid w:val="009D6A44"/>
    <w:rsid w:val="009D7588"/>
    <w:rsid w:val="009E099C"/>
    <w:rsid w:val="009E2552"/>
    <w:rsid w:val="009E2C86"/>
    <w:rsid w:val="00A06F5F"/>
    <w:rsid w:val="00A10C7F"/>
    <w:rsid w:val="00A13B18"/>
    <w:rsid w:val="00A1458C"/>
    <w:rsid w:val="00A275DB"/>
    <w:rsid w:val="00A2789D"/>
    <w:rsid w:val="00A41F9B"/>
    <w:rsid w:val="00A45DF3"/>
    <w:rsid w:val="00A57241"/>
    <w:rsid w:val="00A607BC"/>
    <w:rsid w:val="00A66686"/>
    <w:rsid w:val="00A72E52"/>
    <w:rsid w:val="00A73181"/>
    <w:rsid w:val="00A75A54"/>
    <w:rsid w:val="00A75BB1"/>
    <w:rsid w:val="00A8484A"/>
    <w:rsid w:val="00A87C4F"/>
    <w:rsid w:val="00AA119E"/>
    <w:rsid w:val="00AB014F"/>
    <w:rsid w:val="00AB0D38"/>
    <w:rsid w:val="00AB1F51"/>
    <w:rsid w:val="00AC06C8"/>
    <w:rsid w:val="00AC48A8"/>
    <w:rsid w:val="00AC76A7"/>
    <w:rsid w:val="00AC772F"/>
    <w:rsid w:val="00AF1C51"/>
    <w:rsid w:val="00AF1CA6"/>
    <w:rsid w:val="00AF4056"/>
    <w:rsid w:val="00B00442"/>
    <w:rsid w:val="00B02F66"/>
    <w:rsid w:val="00B1324B"/>
    <w:rsid w:val="00B15389"/>
    <w:rsid w:val="00B161D8"/>
    <w:rsid w:val="00B20911"/>
    <w:rsid w:val="00B25DA8"/>
    <w:rsid w:val="00B30C66"/>
    <w:rsid w:val="00B31BA9"/>
    <w:rsid w:val="00B323B8"/>
    <w:rsid w:val="00B428C9"/>
    <w:rsid w:val="00B46419"/>
    <w:rsid w:val="00B47E4D"/>
    <w:rsid w:val="00B56AB9"/>
    <w:rsid w:val="00B603DF"/>
    <w:rsid w:val="00B60729"/>
    <w:rsid w:val="00B6382A"/>
    <w:rsid w:val="00B64555"/>
    <w:rsid w:val="00B74D49"/>
    <w:rsid w:val="00B8086E"/>
    <w:rsid w:val="00B82476"/>
    <w:rsid w:val="00B85FD0"/>
    <w:rsid w:val="00B93A9A"/>
    <w:rsid w:val="00BA2833"/>
    <w:rsid w:val="00BA53EB"/>
    <w:rsid w:val="00BA6AFE"/>
    <w:rsid w:val="00BA7C72"/>
    <w:rsid w:val="00BB5EA0"/>
    <w:rsid w:val="00BB6611"/>
    <w:rsid w:val="00BC262D"/>
    <w:rsid w:val="00BC29F1"/>
    <w:rsid w:val="00BD14BD"/>
    <w:rsid w:val="00BE2BCA"/>
    <w:rsid w:val="00BE7AFD"/>
    <w:rsid w:val="00BF6291"/>
    <w:rsid w:val="00C00EBA"/>
    <w:rsid w:val="00C10FF7"/>
    <w:rsid w:val="00C11304"/>
    <w:rsid w:val="00C30CD7"/>
    <w:rsid w:val="00C32739"/>
    <w:rsid w:val="00C36593"/>
    <w:rsid w:val="00C36D6B"/>
    <w:rsid w:val="00C42A7F"/>
    <w:rsid w:val="00C45C35"/>
    <w:rsid w:val="00C54396"/>
    <w:rsid w:val="00C56C92"/>
    <w:rsid w:val="00C60D25"/>
    <w:rsid w:val="00C6720C"/>
    <w:rsid w:val="00C677AD"/>
    <w:rsid w:val="00C72A86"/>
    <w:rsid w:val="00C72B36"/>
    <w:rsid w:val="00C75151"/>
    <w:rsid w:val="00C84E57"/>
    <w:rsid w:val="00C96B61"/>
    <w:rsid w:val="00CA7736"/>
    <w:rsid w:val="00CB3DC0"/>
    <w:rsid w:val="00CD4BE3"/>
    <w:rsid w:val="00CE09F6"/>
    <w:rsid w:val="00CE144F"/>
    <w:rsid w:val="00CE215D"/>
    <w:rsid w:val="00CE3672"/>
    <w:rsid w:val="00CF67F6"/>
    <w:rsid w:val="00CF7094"/>
    <w:rsid w:val="00CF7F44"/>
    <w:rsid w:val="00D10318"/>
    <w:rsid w:val="00D12C26"/>
    <w:rsid w:val="00D12ED5"/>
    <w:rsid w:val="00D16EAB"/>
    <w:rsid w:val="00D17F93"/>
    <w:rsid w:val="00D230E0"/>
    <w:rsid w:val="00D23E28"/>
    <w:rsid w:val="00D27FEF"/>
    <w:rsid w:val="00D414BD"/>
    <w:rsid w:val="00D4155E"/>
    <w:rsid w:val="00D41777"/>
    <w:rsid w:val="00D418D0"/>
    <w:rsid w:val="00D4206E"/>
    <w:rsid w:val="00D44580"/>
    <w:rsid w:val="00D60107"/>
    <w:rsid w:val="00D6032D"/>
    <w:rsid w:val="00D603D1"/>
    <w:rsid w:val="00D627DD"/>
    <w:rsid w:val="00D6634A"/>
    <w:rsid w:val="00D66F13"/>
    <w:rsid w:val="00D67E15"/>
    <w:rsid w:val="00D73C70"/>
    <w:rsid w:val="00D80CB6"/>
    <w:rsid w:val="00D81257"/>
    <w:rsid w:val="00D854BF"/>
    <w:rsid w:val="00D92481"/>
    <w:rsid w:val="00D92600"/>
    <w:rsid w:val="00D939A6"/>
    <w:rsid w:val="00DA56E7"/>
    <w:rsid w:val="00DB1E7B"/>
    <w:rsid w:val="00DB58DE"/>
    <w:rsid w:val="00DC18FA"/>
    <w:rsid w:val="00DC1D1B"/>
    <w:rsid w:val="00DC3911"/>
    <w:rsid w:val="00DC6044"/>
    <w:rsid w:val="00DD05B9"/>
    <w:rsid w:val="00DD2996"/>
    <w:rsid w:val="00DE3746"/>
    <w:rsid w:val="00DE3A93"/>
    <w:rsid w:val="00DF77AD"/>
    <w:rsid w:val="00E01205"/>
    <w:rsid w:val="00E018B8"/>
    <w:rsid w:val="00E02FF8"/>
    <w:rsid w:val="00E07E4C"/>
    <w:rsid w:val="00E156B5"/>
    <w:rsid w:val="00E32529"/>
    <w:rsid w:val="00E3525F"/>
    <w:rsid w:val="00E40160"/>
    <w:rsid w:val="00E772AC"/>
    <w:rsid w:val="00E8632C"/>
    <w:rsid w:val="00E86ADA"/>
    <w:rsid w:val="00E91397"/>
    <w:rsid w:val="00E973E4"/>
    <w:rsid w:val="00E97986"/>
    <w:rsid w:val="00ED2CA8"/>
    <w:rsid w:val="00EE37E1"/>
    <w:rsid w:val="00EE6FD7"/>
    <w:rsid w:val="00EF18E8"/>
    <w:rsid w:val="00EF2725"/>
    <w:rsid w:val="00EF46B0"/>
    <w:rsid w:val="00EF7E60"/>
    <w:rsid w:val="00F01E6E"/>
    <w:rsid w:val="00F07135"/>
    <w:rsid w:val="00F160F9"/>
    <w:rsid w:val="00F162FE"/>
    <w:rsid w:val="00F23769"/>
    <w:rsid w:val="00F412B5"/>
    <w:rsid w:val="00F561DF"/>
    <w:rsid w:val="00F72E6F"/>
    <w:rsid w:val="00F81140"/>
    <w:rsid w:val="00F82D24"/>
    <w:rsid w:val="00F85182"/>
    <w:rsid w:val="00F942A2"/>
    <w:rsid w:val="00FA320D"/>
    <w:rsid w:val="00FA3C71"/>
    <w:rsid w:val="00FB061E"/>
    <w:rsid w:val="00FB3A4F"/>
    <w:rsid w:val="00FC0FE8"/>
    <w:rsid w:val="00FC1727"/>
    <w:rsid w:val="00FC2202"/>
    <w:rsid w:val="00FC3FE4"/>
    <w:rsid w:val="00FD6D09"/>
    <w:rsid w:val="00FD7873"/>
    <w:rsid w:val="00FE0DA1"/>
    <w:rsid w:val="00FE5C44"/>
    <w:rsid w:val="00FF0703"/>
    <w:rsid w:val="00FF48A0"/>
    <w:rsid w:val="03222453"/>
    <w:rsid w:val="033938D3"/>
    <w:rsid w:val="03D137B1"/>
    <w:rsid w:val="044613EF"/>
    <w:rsid w:val="060F4996"/>
    <w:rsid w:val="06407EEC"/>
    <w:rsid w:val="06ED07C4"/>
    <w:rsid w:val="07CD14E2"/>
    <w:rsid w:val="083251BC"/>
    <w:rsid w:val="08D56010"/>
    <w:rsid w:val="09FD1991"/>
    <w:rsid w:val="0BB17F95"/>
    <w:rsid w:val="0CB55FA5"/>
    <w:rsid w:val="0D0644B0"/>
    <w:rsid w:val="0D69055F"/>
    <w:rsid w:val="0D740545"/>
    <w:rsid w:val="0E2F6203"/>
    <w:rsid w:val="0E4D6F79"/>
    <w:rsid w:val="0F3F53F3"/>
    <w:rsid w:val="0F400037"/>
    <w:rsid w:val="10300363"/>
    <w:rsid w:val="10763AD5"/>
    <w:rsid w:val="15FB0811"/>
    <w:rsid w:val="16F84256"/>
    <w:rsid w:val="179A0344"/>
    <w:rsid w:val="194E1008"/>
    <w:rsid w:val="1AA85637"/>
    <w:rsid w:val="1AAC0B78"/>
    <w:rsid w:val="1DA34AEE"/>
    <w:rsid w:val="1E9C394B"/>
    <w:rsid w:val="1F5879B8"/>
    <w:rsid w:val="20983697"/>
    <w:rsid w:val="2178489D"/>
    <w:rsid w:val="21B319A7"/>
    <w:rsid w:val="21CE64A7"/>
    <w:rsid w:val="22271CEA"/>
    <w:rsid w:val="25BB4E67"/>
    <w:rsid w:val="26600688"/>
    <w:rsid w:val="26BD1F14"/>
    <w:rsid w:val="271F4C5D"/>
    <w:rsid w:val="274A0EEA"/>
    <w:rsid w:val="27542BA5"/>
    <w:rsid w:val="276843E1"/>
    <w:rsid w:val="27B97B6F"/>
    <w:rsid w:val="27DB3D65"/>
    <w:rsid w:val="2833720D"/>
    <w:rsid w:val="28570E0D"/>
    <w:rsid w:val="28AC2C52"/>
    <w:rsid w:val="297C046F"/>
    <w:rsid w:val="2ABC54A7"/>
    <w:rsid w:val="2C8F180F"/>
    <w:rsid w:val="2DBE48AC"/>
    <w:rsid w:val="2DE6629C"/>
    <w:rsid w:val="2E16366E"/>
    <w:rsid w:val="2F8413D0"/>
    <w:rsid w:val="30263074"/>
    <w:rsid w:val="308C780D"/>
    <w:rsid w:val="30B24BA9"/>
    <w:rsid w:val="314A4900"/>
    <w:rsid w:val="334D5498"/>
    <w:rsid w:val="33C56B84"/>
    <w:rsid w:val="355C4782"/>
    <w:rsid w:val="35C77863"/>
    <w:rsid w:val="362D0690"/>
    <w:rsid w:val="38BA542D"/>
    <w:rsid w:val="393832D1"/>
    <w:rsid w:val="397D446D"/>
    <w:rsid w:val="3A7C7318"/>
    <w:rsid w:val="3AF467E5"/>
    <w:rsid w:val="3C3C30C1"/>
    <w:rsid w:val="3D9123DE"/>
    <w:rsid w:val="3E376E34"/>
    <w:rsid w:val="40101098"/>
    <w:rsid w:val="406557C4"/>
    <w:rsid w:val="40D74B47"/>
    <w:rsid w:val="40E03622"/>
    <w:rsid w:val="45A95253"/>
    <w:rsid w:val="45BE01DF"/>
    <w:rsid w:val="4688142B"/>
    <w:rsid w:val="4751770D"/>
    <w:rsid w:val="49731ED9"/>
    <w:rsid w:val="4B1917BE"/>
    <w:rsid w:val="4B223095"/>
    <w:rsid w:val="4B6D6EE9"/>
    <w:rsid w:val="4C136276"/>
    <w:rsid w:val="4C5E1E88"/>
    <w:rsid w:val="4D2B5AB1"/>
    <w:rsid w:val="4DA44400"/>
    <w:rsid w:val="4EA14C98"/>
    <w:rsid w:val="50C465A7"/>
    <w:rsid w:val="526B78BD"/>
    <w:rsid w:val="53594B87"/>
    <w:rsid w:val="54485139"/>
    <w:rsid w:val="549E6625"/>
    <w:rsid w:val="55F0061F"/>
    <w:rsid w:val="560918EF"/>
    <w:rsid w:val="56844608"/>
    <w:rsid w:val="56BC4C99"/>
    <w:rsid w:val="58EA192B"/>
    <w:rsid w:val="59080C9D"/>
    <w:rsid w:val="5A2C3F1F"/>
    <w:rsid w:val="5B546C53"/>
    <w:rsid w:val="5C9B34B6"/>
    <w:rsid w:val="5DB82878"/>
    <w:rsid w:val="63D265DF"/>
    <w:rsid w:val="65397A8B"/>
    <w:rsid w:val="6543185D"/>
    <w:rsid w:val="65A17BB6"/>
    <w:rsid w:val="669A53AC"/>
    <w:rsid w:val="66E91480"/>
    <w:rsid w:val="68DF6C3B"/>
    <w:rsid w:val="6DD25AA7"/>
    <w:rsid w:val="6DE24597"/>
    <w:rsid w:val="6E0D40E7"/>
    <w:rsid w:val="6F4056B1"/>
    <w:rsid w:val="6F742AE3"/>
    <w:rsid w:val="701E0B31"/>
    <w:rsid w:val="70426C4B"/>
    <w:rsid w:val="70C70DAD"/>
    <w:rsid w:val="711C3140"/>
    <w:rsid w:val="720D0BF7"/>
    <w:rsid w:val="72171E5E"/>
    <w:rsid w:val="724F6B81"/>
    <w:rsid w:val="72F15B04"/>
    <w:rsid w:val="73B8219B"/>
    <w:rsid w:val="73C36398"/>
    <w:rsid w:val="75A24288"/>
    <w:rsid w:val="75A467E0"/>
    <w:rsid w:val="76635A4B"/>
    <w:rsid w:val="78BB1A35"/>
    <w:rsid w:val="79803E6E"/>
    <w:rsid w:val="79895801"/>
    <w:rsid w:val="79EF3FDD"/>
    <w:rsid w:val="7AEE4577"/>
    <w:rsid w:val="7AF73C71"/>
    <w:rsid w:val="7C46757B"/>
    <w:rsid w:val="7D46142C"/>
    <w:rsid w:val="7D931A20"/>
    <w:rsid w:val="7DE6174B"/>
    <w:rsid w:val="7EC56652"/>
    <w:rsid w:val="7F313A74"/>
    <w:rsid w:val="7F5248B8"/>
    <w:rsid w:val="7F620AF8"/>
    <w:rsid w:val="7F8656E9"/>
    <w:rsid w:val="7FC85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ind w:right="238"/>
      <w:jc w:val="center"/>
      <w:outlineLvl w:val="0"/>
    </w:pPr>
    <w:rPr>
      <w:b/>
      <w:bCs/>
      <w:sz w:val="44"/>
      <w:szCs w:val="44"/>
    </w:rPr>
  </w:style>
  <w:style w:type="paragraph" w:styleId="3">
    <w:name w:val="heading 2"/>
    <w:basedOn w:val="1"/>
    <w:next w:val="1"/>
    <w:qFormat/>
    <w:uiPriority w:val="1"/>
    <w:pPr>
      <w:ind w:right="380"/>
      <w:jc w:val="center"/>
      <w:outlineLvl w:val="1"/>
    </w:pPr>
    <w:rPr>
      <w:b/>
      <w:bCs/>
      <w:sz w:val="28"/>
      <w:szCs w:val="28"/>
    </w:rPr>
  </w:style>
  <w:style w:type="paragraph" w:styleId="4">
    <w:name w:val="heading 3"/>
    <w:basedOn w:val="1"/>
    <w:next w:val="1"/>
    <w:qFormat/>
    <w:uiPriority w:val="1"/>
    <w:pPr>
      <w:ind w:left="921"/>
      <w:outlineLvl w:val="2"/>
    </w:pPr>
    <w:rPr>
      <w:rFonts w:ascii="Microsoft JhengHei" w:hAnsi="Microsoft JhengHei" w:eastAsia="Microsoft JhengHei" w:cs="Microsoft JhengHei"/>
      <w:b/>
      <w:bCs/>
      <w:sz w:val="24"/>
      <w:szCs w:val="24"/>
    </w:rPr>
  </w:style>
  <w:style w:type="paragraph" w:styleId="5">
    <w:name w:val="heading 4"/>
    <w:basedOn w:val="1"/>
    <w:next w:val="1"/>
    <w:qFormat/>
    <w:uiPriority w:val="1"/>
    <w:pPr>
      <w:ind w:left="862" w:hanging="422"/>
      <w:outlineLvl w:val="3"/>
    </w:pPr>
    <w:rPr>
      <w:b/>
      <w:bCs/>
      <w:sz w:val="21"/>
      <w:szCs w:val="21"/>
    </w:rPr>
  </w:style>
  <w:style w:type="paragraph" w:styleId="6">
    <w:name w:val="heading 5"/>
    <w:basedOn w:val="1"/>
    <w:next w:val="1"/>
    <w:link w:val="25"/>
    <w:unhideWhenUsed/>
    <w:qFormat/>
    <w:uiPriority w:val="0"/>
    <w:pPr>
      <w:keepNext/>
      <w:keepLines/>
      <w:spacing w:before="280" w:after="290" w:line="376" w:lineRule="auto"/>
      <w:outlineLvl w:val="4"/>
    </w:pPr>
    <w:rPr>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7">
    <w:name w:val="Normal Indent"/>
    <w:basedOn w:val="1"/>
    <w:link w:val="22"/>
    <w:qFormat/>
    <w:uiPriority w:val="0"/>
    <w:pPr>
      <w:autoSpaceDE/>
      <w:autoSpaceDN/>
      <w:ind w:firstLine="420" w:firstLineChars="200"/>
      <w:jc w:val="both"/>
    </w:pPr>
    <w:rPr>
      <w:rFonts w:ascii="Calibri" w:hAnsi="Calibri" w:cs="Times New Roman"/>
      <w:kern w:val="2"/>
      <w:sz w:val="21"/>
      <w:szCs w:val="24"/>
      <w:lang w:val="en-US" w:bidi="ar-SA"/>
    </w:rPr>
  </w:style>
  <w:style w:type="paragraph" w:styleId="8">
    <w:name w:val="annotation text"/>
    <w:basedOn w:val="1"/>
    <w:link w:val="26"/>
    <w:semiHidden/>
    <w:unhideWhenUsed/>
    <w:qFormat/>
    <w:uiPriority w:val="0"/>
  </w:style>
  <w:style w:type="paragraph" w:styleId="9">
    <w:name w:val="Body Text"/>
    <w:basedOn w:val="1"/>
    <w:link w:val="23"/>
    <w:qFormat/>
    <w:uiPriority w:val="1"/>
    <w:rPr>
      <w:sz w:val="21"/>
      <w:szCs w:val="21"/>
    </w:rPr>
  </w:style>
  <w:style w:type="paragraph" w:styleId="10">
    <w:name w:val="footer"/>
    <w:basedOn w:val="1"/>
    <w:link w:val="24"/>
    <w:qFormat/>
    <w:uiPriority w:val="0"/>
    <w:pPr>
      <w:tabs>
        <w:tab w:val="center" w:pos="4153"/>
        <w:tab w:val="right" w:pos="8306"/>
      </w:tabs>
      <w:snapToGrid w:val="0"/>
    </w:pPr>
    <w:rPr>
      <w:sz w:val="18"/>
      <w:szCs w:val="18"/>
    </w:rPr>
  </w:style>
  <w:style w:type="paragraph" w:styleId="11">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99"/>
    <w:pPr>
      <w:widowControl/>
      <w:spacing w:before="100" w:beforeAutospacing="1" w:after="100" w:afterAutospacing="1"/>
    </w:pPr>
    <w:rPr>
      <w:sz w:val="24"/>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6">
    <w:name w:val="Hyperlink"/>
    <w:basedOn w:val="15"/>
    <w:unhideWhenUsed/>
    <w:qFormat/>
    <w:uiPriority w:val="0"/>
    <w:rPr>
      <w:color w:val="0000FF" w:themeColor="hyperlink"/>
      <w:u w:val="single"/>
    </w:rPr>
  </w:style>
  <w:style w:type="table" w:customStyle="1" w:styleId="17">
    <w:name w:val="Table Normal"/>
    <w:semiHidden/>
    <w:unhideWhenUsed/>
    <w:qFormat/>
    <w:uiPriority w:val="2"/>
    <w:tblPr>
      <w:tblLayout w:type="fixed"/>
      <w:tblCellMar>
        <w:top w:w="0" w:type="dxa"/>
        <w:left w:w="0" w:type="dxa"/>
        <w:bottom w:w="0" w:type="dxa"/>
        <w:right w:w="0" w:type="dxa"/>
      </w:tblCellMar>
    </w:tblPr>
  </w:style>
  <w:style w:type="paragraph" w:styleId="18">
    <w:name w:val="List Paragraph"/>
    <w:basedOn w:val="1"/>
    <w:qFormat/>
    <w:uiPriority w:val="1"/>
    <w:pPr>
      <w:ind w:left="440" w:firstLine="412"/>
    </w:pPr>
  </w:style>
  <w:style w:type="paragraph" w:customStyle="1" w:styleId="19">
    <w:name w:val="Table Paragraph"/>
    <w:basedOn w:val="1"/>
    <w:qFormat/>
    <w:uiPriority w:val="1"/>
  </w:style>
  <w:style w:type="paragraph" w:customStyle="1" w:styleId="20">
    <w:name w:val="_Style 2"/>
    <w:basedOn w:val="1"/>
    <w:qFormat/>
    <w:uiPriority w:val="0"/>
    <w:pPr>
      <w:ind w:firstLine="420" w:firstLineChars="200"/>
    </w:pPr>
  </w:style>
  <w:style w:type="paragraph" w:customStyle="1" w:styleId="21">
    <w:name w:val="列出段落1"/>
    <w:basedOn w:val="1"/>
    <w:qFormat/>
    <w:uiPriority w:val="99"/>
    <w:pPr>
      <w:ind w:firstLine="420" w:firstLineChars="200"/>
    </w:pPr>
    <w:rPr>
      <w:rFonts w:ascii="Calibri" w:hAnsi="Calibri"/>
      <w:szCs w:val="20"/>
    </w:rPr>
  </w:style>
  <w:style w:type="character" w:customStyle="1" w:styleId="22">
    <w:name w:val="正文缩进 Char"/>
    <w:link w:val="7"/>
    <w:qFormat/>
    <w:uiPriority w:val="0"/>
    <w:rPr>
      <w:kern w:val="2"/>
      <w:sz w:val="21"/>
      <w:szCs w:val="24"/>
    </w:rPr>
  </w:style>
  <w:style w:type="character" w:customStyle="1" w:styleId="23">
    <w:name w:val="正文文本 Char"/>
    <w:basedOn w:val="15"/>
    <w:link w:val="9"/>
    <w:qFormat/>
    <w:uiPriority w:val="1"/>
    <w:rPr>
      <w:rFonts w:ascii="宋体" w:hAnsi="宋体" w:cs="宋体"/>
      <w:sz w:val="21"/>
      <w:szCs w:val="21"/>
      <w:lang w:val="zh-CN" w:bidi="zh-CN"/>
    </w:rPr>
  </w:style>
  <w:style w:type="character" w:customStyle="1" w:styleId="24">
    <w:name w:val="页脚 Char"/>
    <w:basedOn w:val="15"/>
    <w:link w:val="10"/>
    <w:qFormat/>
    <w:uiPriority w:val="0"/>
    <w:rPr>
      <w:rFonts w:ascii="宋体" w:hAnsi="宋体" w:eastAsia="宋体" w:cs="宋体"/>
      <w:sz w:val="18"/>
      <w:szCs w:val="18"/>
      <w:lang w:val="zh-CN" w:bidi="zh-CN"/>
    </w:rPr>
  </w:style>
  <w:style w:type="character" w:customStyle="1" w:styleId="25">
    <w:name w:val="标题 5 Char"/>
    <w:basedOn w:val="15"/>
    <w:link w:val="6"/>
    <w:qFormat/>
    <w:uiPriority w:val="0"/>
    <w:rPr>
      <w:rFonts w:ascii="宋体" w:hAnsi="宋体" w:eastAsia="宋体" w:cs="宋体"/>
      <w:b/>
      <w:bCs/>
      <w:sz w:val="28"/>
      <w:szCs w:val="28"/>
      <w:lang w:val="zh-CN" w:bidi="zh-CN"/>
    </w:rPr>
  </w:style>
  <w:style w:type="character" w:customStyle="1" w:styleId="26">
    <w:name w:val="批注文字 Char"/>
    <w:basedOn w:val="15"/>
    <w:link w:val="8"/>
    <w:semiHidden/>
    <w:qFormat/>
    <w:uiPriority w:val="0"/>
    <w:rPr>
      <w:rFonts w:ascii="宋体" w:hAnsi="宋体" w:eastAsia="宋体" w:cs="宋体"/>
      <w:sz w:val="22"/>
      <w:szCs w:val="22"/>
      <w:lang w:val="zh-CN" w:bidi="zh-CN"/>
    </w:rPr>
  </w:style>
  <w:style w:type="character" w:customStyle="1" w:styleId="27">
    <w:name w:val="Unresolved Mention"/>
    <w:basedOn w:val="1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E3007C-11C1-470C-88FD-BD901D003147}">
  <ds:schemaRefs/>
</ds:datastoreItem>
</file>

<file path=docProps/app.xml><?xml version="1.0" encoding="utf-8"?>
<Properties xmlns="http://schemas.openxmlformats.org/officeDocument/2006/extended-properties" xmlns:vt="http://schemas.openxmlformats.org/officeDocument/2006/docPropsVTypes">
  <Template>Normal</Template>
  <Company>QBPC</Company>
  <Pages>57</Pages>
  <Words>5554</Words>
  <Characters>31660</Characters>
  <Lines>263</Lines>
  <Paragraphs>74</Paragraphs>
  <TotalTime>234</TotalTime>
  <ScaleCrop>false</ScaleCrop>
  <LinksUpToDate>false</LinksUpToDate>
  <CharactersWithSpaces>37140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2020-03-04T09:30:00Z</dcterms:created>
  <dc:creator>thsware</dc:creator>
  <cp:lastModifiedBy>Administrator</cp:lastModifiedBy>
  <cp:lastPrinted>2020-04-26T02:52:00Z</cp:lastPrinted>
  <dcterms:modified xsi:type="dcterms:W3CDTF">2020-05-08T03:48:21Z</dcterms:modified>
  <dc:title>招  标　文　件</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2018-11-01T00:00:00Z</vt:filetime>
  </property>
  <property fmtid="{D5CDD505-2E9C-101B-9397-08002B2CF9AE}" pid="3" name="Creator">
    <vt:lpwstr>WPS 文字</vt:lpwstr>
  </property>
  <property fmtid="{D5CDD505-2E9C-101B-9397-08002B2CF9AE}" pid="4" name="LastSaved">
    <vt:filetime>2018-12-01T00:00:00Z</vt:filetime>
  </property>
  <property fmtid="{D5CDD505-2E9C-101B-9397-08002B2CF9AE}" pid="5" name="KSOProductBuildVer">
    <vt:lpwstr>2052-11.8.2.8361</vt:lpwstr>
  </property>
</Properties>
</file>